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26A37F" w14:textId="07AA0558" w:rsidR="001A3588" w:rsidRDefault="00BE1BEC" w:rsidP="00087D4C">
      <w:pPr>
        <w:spacing w:after="0" w:line="240" w:lineRule="auto"/>
        <w:ind w:right="-86"/>
        <w:jc w:val="both"/>
        <w:rPr>
          <w:rFonts w:eastAsia="MS Mincho" w:cs="Calibri"/>
          <w:b/>
          <w:color w:val="000099"/>
          <w:sz w:val="28"/>
          <w:szCs w:val="28"/>
        </w:rPr>
      </w:pPr>
      <w:bookmarkStart w:id="0" w:name="_GoBack"/>
      <w:bookmarkEnd w:id="0"/>
      <w:r>
        <w:rPr>
          <w:rFonts w:eastAsia="MS Mincho" w:cs="Calibri"/>
          <w:b/>
          <w:color w:val="000099"/>
          <w:sz w:val="28"/>
          <w:szCs w:val="28"/>
        </w:rPr>
        <w:t>PURSUING</w:t>
      </w:r>
      <w:r w:rsidR="001A3588" w:rsidRPr="001A3588">
        <w:rPr>
          <w:rFonts w:eastAsia="MS Mincho" w:cs="Calibri"/>
          <w:b/>
          <w:color w:val="000099"/>
          <w:sz w:val="28"/>
          <w:szCs w:val="28"/>
        </w:rPr>
        <w:t xml:space="preserve"> SDG TARGET 12.3</w:t>
      </w:r>
      <w:r w:rsidR="00F22A71">
        <w:rPr>
          <w:rFonts w:eastAsia="MS Mincho" w:cs="Calibri"/>
          <w:b/>
          <w:color w:val="000099"/>
          <w:sz w:val="28"/>
          <w:szCs w:val="28"/>
        </w:rPr>
        <w:t>:</w:t>
      </w:r>
    </w:p>
    <w:p w14:paraId="5F3B22FA" w14:textId="4D5B9168" w:rsidR="00F22A71" w:rsidRDefault="00BE1BEC" w:rsidP="00087D4C">
      <w:pPr>
        <w:spacing w:after="0" w:line="240" w:lineRule="auto"/>
        <w:ind w:right="-86"/>
        <w:jc w:val="both"/>
        <w:rPr>
          <w:rFonts w:eastAsia="MS Mincho" w:cs="Calibri"/>
          <w:b/>
          <w:color w:val="000099"/>
          <w:sz w:val="28"/>
          <w:szCs w:val="28"/>
        </w:rPr>
      </w:pPr>
      <w:r>
        <w:rPr>
          <w:rFonts w:eastAsia="MS Mincho" w:cs="Calibri"/>
          <w:b/>
          <w:color w:val="000099"/>
          <w:sz w:val="28"/>
          <w:szCs w:val="28"/>
        </w:rPr>
        <w:t>Guidance</w:t>
      </w:r>
      <w:r w:rsidR="00F22A71">
        <w:rPr>
          <w:rFonts w:eastAsia="MS Mincho" w:cs="Calibri"/>
          <w:b/>
          <w:color w:val="000099"/>
          <w:sz w:val="28"/>
          <w:szCs w:val="28"/>
        </w:rPr>
        <w:t xml:space="preserve"> on interpret</w:t>
      </w:r>
      <w:r>
        <w:rPr>
          <w:rFonts w:eastAsia="MS Mincho" w:cs="Calibri"/>
          <w:b/>
          <w:color w:val="000099"/>
          <w:sz w:val="28"/>
          <w:szCs w:val="28"/>
        </w:rPr>
        <w:t>ing</w:t>
      </w:r>
      <w:r w:rsidR="00F22A71">
        <w:rPr>
          <w:rFonts w:eastAsia="MS Mincho" w:cs="Calibri"/>
          <w:b/>
          <w:color w:val="000099"/>
          <w:sz w:val="28"/>
          <w:szCs w:val="28"/>
        </w:rPr>
        <w:t xml:space="preserve"> S</w:t>
      </w:r>
      <w:r w:rsidR="00D57760">
        <w:rPr>
          <w:rFonts w:eastAsia="MS Mincho" w:cs="Calibri"/>
          <w:b/>
          <w:color w:val="000099"/>
          <w:sz w:val="28"/>
          <w:szCs w:val="28"/>
        </w:rPr>
        <w:t xml:space="preserve">ustainable </w:t>
      </w:r>
      <w:r w:rsidR="00F22A71">
        <w:rPr>
          <w:rFonts w:eastAsia="MS Mincho" w:cs="Calibri"/>
          <w:b/>
          <w:color w:val="000099"/>
          <w:sz w:val="28"/>
          <w:szCs w:val="28"/>
        </w:rPr>
        <w:t>D</w:t>
      </w:r>
      <w:r w:rsidR="00D57760">
        <w:rPr>
          <w:rFonts w:eastAsia="MS Mincho" w:cs="Calibri"/>
          <w:b/>
          <w:color w:val="000099"/>
          <w:sz w:val="28"/>
          <w:szCs w:val="28"/>
        </w:rPr>
        <w:t xml:space="preserve">evelopment </w:t>
      </w:r>
      <w:r w:rsidR="00F22A71">
        <w:rPr>
          <w:rFonts w:eastAsia="MS Mincho" w:cs="Calibri"/>
          <w:b/>
          <w:color w:val="000099"/>
          <w:sz w:val="28"/>
          <w:szCs w:val="28"/>
        </w:rPr>
        <w:t>G</w:t>
      </w:r>
      <w:r w:rsidR="00D57760">
        <w:rPr>
          <w:rFonts w:eastAsia="MS Mincho" w:cs="Calibri"/>
          <w:b/>
          <w:color w:val="000099"/>
          <w:sz w:val="28"/>
          <w:szCs w:val="28"/>
        </w:rPr>
        <w:t>oal</w:t>
      </w:r>
      <w:r w:rsidR="00F22A71">
        <w:rPr>
          <w:rFonts w:eastAsia="MS Mincho" w:cs="Calibri"/>
          <w:b/>
          <w:color w:val="000099"/>
          <w:sz w:val="28"/>
          <w:szCs w:val="28"/>
        </w:rPr>
        <w:t xml:space="preserve"> Target 12.3</w:t>
      </w:r>
    </w:p>
    <w:p w14:paraId="69223B63" w14:textId="0821CADD" w:rsidR="00F22A71" w:rsidRPr="00AB7C77" w:rsidRDefault="00F22A71" w:rsidP="00087D4C">
      <w:pPr>
        <w:spacing w:after="0" w:line="240" w:lineRule="auto"/>
        <w:ind w:right="-86"/>
        <w:jc w:val="both"/>
        <w:rPr>
          <w:rFonts w:eastAsia="MS Mincho" w:cs="Calibri"/>
          <w:b/>
          <w:color w:val="000099"/>
        </w:rPr>
      </w:pPr>
    </w:p>
    <w:p w14:paraId="13703470" w14:textId="1E891A00" w:rsidR="00F22A71" w:rsidRPr="00F22A71" w:rsidRDefault="00DD538D" w:rsidP="00087D4C">
      <w:pPr>
        <w:spacing w:after="0" w:line="240" w:lineRule="auto"/>
        <w:ind w:right="-86"/>
        <w:jc w:val="both"/>
        <w:rPr>
          <w:rFonts w:eastAsia="MS Mincho" w:cs="Calibri"/>
          <w:i/>
        </w:rPr>
      </w:pPr>
      <w:r>
        <w:rPr>
          <w:rFonts w:eastAsia="MS Mincho" w:cs="Calibri"/>
          <w:i/>
        </w:rPr>
        <w:t>Prepared by Craig Han</w:t>
      </w:r>
      <w:r w:rsidR="00EA780C">
        <w:rPr>
          <w:rFonts w:eastAsia="MS Mincho" w:cs="Calibri"/>
          <w:i/>
        </w:rPr>
        <w:t>son (WRI) with input from colleagues and experts working on issues relating to food loss and waste</w:t>
      </w:r>
    </w:p>
    <w:p w14:paraId="2EE8B6DE" w14:textId="77777777" w:rsidR="00DA46BC" w:rsidRDefault="00DA46BC" w:rsidP="00087D4C">
      <w:pPr>
        <w:spacing w:after="0" w:line="240" w:lineRule="auto"/>
        <w:ind w:right="-86"/>
        <w:jc w:val="both"/>
        <w:rPr>
          <w:rFonts w:eastAsia="MS Mincho" w:cs="Calibri"/>
        </w:rPr>
      </w:pPr>
    </w:p>
    <w:p w14:paraId="30BC2C14" w14:textId="77777777" w:rsidR="001A3588" w:rsidRPr="001A3588" w:rsidRDefault="001A3588" w:rsidP="001A3588">
      <w:pPr>
        <w:spacing w:after="120" w:line="240" w:lineRule="auto"/>
        <w:ind w:right="-86"/>
        <w:jc w:val="both"/>
        <w:rPr>
          <w:rFonts w:eastAsia="MS Mincho" w:cs="Calibri"/>
          <w:b/>
          <w:color w:val="000099"/>
        </w:rPr>
      </w:pPr>
      <w:r w:rsidRPr="001A3588">
        <w:rPr>
          <w:rFonts w:eastAsia="MS Mincho" w:cs="Calibri"/>
          <w:b/>
          <w:color w:val="000099"/>
        </w:rPr>
        <w:t>THE OPPORTUNITY</w:t>
      </w:r>
    </w:p>
    <w:p w14:paraId="3DF3D568" w14:textId="46FAF466" w:rsidR="00781F5E" w:rsidRPr="00984886" w:rsidRDefault="00781F5E" w:rsidP="00222CAC">
      <w:pPr>
        <w:spacing w:after="0" w:line="240" w:lineRule="auto"/>
        <w:ind w:right="-86"/>
        <w:jc w:val="both"/>
        <w:rPr>
          <w:rFonts w:eastAsia="Calibri" w:cs="Arial"/>
        </w:rPr>
      </w:pPr>
      <w:r w:rsidRPr="00781F5E">
        <w:rPr>
          <w:rFonts w:eastAsia="MS Mincho" w:cs="Calibri"/>
        </w:rPr>
        <w:t xml:space="preserve">Food </w:t>
      </w:r>
      <w:r w:rsidR="0020600B">
        <w:rPr>
          <w:rFonts w:eastAsia="MS Mincho" w:cs="Calibri"/>
        </w:rPr>
        <w:t xml:space="preserve">intended for human consumption </w:t>
      </w:r>
      <w:r w:rsidR="006240D9">
        <w:rPr>
          <w:rFonts w:eastAsia="MS Mincho" w:cs="Calibri"/>
        </w:rPr>
        <w:t>that is lost or wasted</w:t>
      </w:r>
      <w:r w:rsidRPr="00781F5E">
        <w:rPr>
          <w:rFonts w:eastAsia="MS Mincho" w:cs="Calibri"/>
        </w:rPr>
        <w:t xml:space="preserve"> is a challenge of epic proportions. According to the best available global estimates compiled by the Food and Agriculture Organization of the United Nations (FAO), approximately one-third of all food produced in the world in 2009 was lost or wasted.</w:t>
      </w:r>
      <w:r w:rsidRPr="00781F5E">
        <w:rPr>
          <w:rFonts w:eastAsia="MS Mincho" w:cs="Times New Roman"/>
          <w:vertAlign w:val="superscript"/>
        </w:rPr>
        <w:endnoteReference w:id="1"/>
      </w:r>
      <w:r>
        <w:rPr>
          <w:rFonts w:eastAsia="MS Mincho" w:cs="Calibri"/>
        </w:rPr>
        <w:t xml:space="preserve"> </w:t>
      </w:r>
      <w:r w:rsidRPr="00781F5E">
        <w:rPr>
          <w:rFonts w:eastAsia="Calibri" w:cs="Arial"/>
        </w:rPr>
        <w:t xml:space="preserve">This huge level of inefficiency has substantial </w:t>
      </w:r>
      <w:r>
        <w:rPr>
          <w:rFonts w:eastAsia="Calibri" w:cs="Arial"/>
        </w:rPr>
        <w:t xml:space="preserve">impacts. </w:t>
      </w:r>
      <w:r w:rsidR="00F7266C">
        <w:rPr>
          <w:rFonts w:eastAsia="Arial Unicode MS" w:cs="Arial Unicode MS"/>
          <w:color w:val="000000" w:themeColor="text1"/>
          <w:bdr w:val="nil"/>
        </w:rPr>
        <w:t xml:space="preserve">It </w:t>
      </w:r>
      <w:r w:rsidRPr="00781F5E">
        <w:rPr>
          <w:rFonts w:eastAsia="Arial Unicode MS" w:cs="Arial Unicode MS"/>
          <w:color w:val="000000" w:themeColor="text1"/>
          <w:bdr w:val="nil"/>
        </w:rPr>
        <w:t>result</w:t>
      </w:r>
      <w:r w:rsidR="00F7266C">
        <w:rPr>
          <w:rFonts w:eastAsia="Arial Unicode MS" w:cs="Arial Unicode MS"/>
          <w:color w:val="000000" w:themeColor="text1"/>
          <w:bdr w:val="nil"/>
        </w:rPr>
        <w:t>s</w:t>
      </w:r>
      <w:r w:rsidRPr="00781F5E">
        <w:rPr>
          <w:rFonts w:eastAsia="Arial Unicode MS" w:cs="Arial Unicode MS"/>
          <w:color w:val="000000" w:themeColor="text1"/>
          <w:bdr w:val="nil"/>
        </w:rPr>
        <w:t xml:space="preserve"> in </w:t>
      </w:r>
      <w:r w:rsidRPr="00781F5E">
        <w:rPr>
          <w:rFonts w:eastAsia="Calibri" w:cs="Arial"/>
          <w:color w:val="000000" w:themeColor="text1"/>
        </w:rPr>
        <w:t>roughly $940 billion in economic losses globally per year.</w:t>
      </w:r>
      <w:r w:rsidRPr="00781F5E">
        <w:rPr>
          <w:rFonts w:eastAsia="Calibri" w:cs="Arial"/>
          <w:color w:val="000000" w:themeColor="text1"/>
          <w:vertAlign w:val="superscript"/>
        </w:rPr>
        <w:endnoteReference w:id="2"/>
      </w:r>
      <w:r w:rsidRPr="00781F5E">
        <w:rPr>
          <w:rFonts w:eastAsia="Calibri" w:cs="Arial"/>
          <w:color w:val="000000" w:themeColor="text1"/>
        </w:rPr>
        <w:t xml:space="preserve"> </w:t>
      </w:r>
      <w:r w:rsidR="00984886">
        <w:rPr>
          <w:rFonts w:eastAsia="Calibri" w:cs="Arial"/>
          <w:color w:val="000000" w:themeColor="text1"/>
        </w:rPr>
        <w:t>It contributes to food insecurity</w:t>
      </w:r>
      <w:r w:rsidR="002E7828">
        <w:rPr>
          <w:rFonts w:eastAsia="Calibri" w:cs="Arial"/>
          <w:color w:val="000000" w:themeColor="text1"/>
        </w:rPr>
        <w:t xml:space="preserve"> and hinders nutrition—</w:t>
      </w:r>
      <w:r w:rsidR="00984886">
        <w:rPr>
          <w:rFonts w:eastAsia="Calibri" w:cs="Arial"/>
          <w:color w:val="000000" w:themeColor="text1"/>
        </w:rPr>
        <w:t>i</w:t>
      </w:r>
      <w:r w:rsidRPr="00781F5E">
        <w:rPr>
          <w:rFonts w:ascii="Calibri" w:hAnsi="Calibri"/>
        </w:rPr>
        <w:t xml:space="preserve">n a </w:t>
      </w:r>
      <w:r w:rsidRPr="00781F5E">
        <w:rPr>
          <w:rFonts w:ascii="Calibri" w:hAnsi="Calibri"/>
          <w:color w:val="000000" w:themeColor="text1"/>
        </w:rPr>
        <w:t>world where one in nine people are undernourished</w:t>
      </w:r>
      <w:r w:rsidR="002E7828">
        <w:rPr>
          <w:rFonts w:ascii="Calibri" w:hAnsi="Calibri"/>
          <w:color w:val="000000" w:themeColor="text1"/>
        </w:rPr>
        <w:t>.</w:t>
      </w:r>
      <w:r w:rsidRPr="00781F5E">
        <w:rPr>
          <w:rFonts w:ascii="Calibri" w:hAnsi="Calibri"/>
          <w:color w:val="000000" w:themeColor="text1"/>
          <w:vertAlign w:val="superscript"/>
        </w:rPr>
        <w:endnoteReference w:id="3"/>
      </w:r>
      <w:r w:rsidR="00984886">
        <w:rPr>
          <w:rFonts w:ascii="Calibri" w:hAnsi="Calibri"/>
          <w:color w:val="000000" w:themeColor="text1"/>
        </w:rPr>
        <w:t xml:space="preserve"> </w:t>
      </w:r>
      <w:r w:rsidR="002E7828">
        <w:rPr>
          <w:rFonts w:ascii="Calibri" w:hAnsi="Calibri"/>
          <w:color w:val="000000" w:themeColor="text1"/>
        </w:rPr>
        <w:t xml:space="preserve">In fact, </w:t>
      </w:r>
      <w:r w:rsidR="00B95FF9">
        <w:rPr>
          <w:rFonts w:ascii="Calibri" w:hAnsi="Calibri"/>
          <w:color w:val="000000" w:themeColor="text1"/>
        </w:rPr>
        <w:t>food loss and waste results in a 24 percent reduction in available food calories—driven by grains—and a</w:t>
      </w:r>
      <w:r w:rsidR="002831D4">
        <w:rPr>
          <w:rFonts w:ascii="Calibri" w:hAnsi="Calibri"/>
          <w:color w:val="000000" w:themeColor="text1"/>
        </w:rPr>
        <w:t>n untold reduction in nutrients, particularly</w:t>
      </w:r>
      <w:r w:rsidR="00B95FF9">
        <w:rPr>
          <w:rFonts w:ascii="Calibri" w:hAnsi="Calibri"/>
          <w:color w:val="000000" w:themeColor="text1"/>
        </w:rPr>
        <w:t xml:space="preserve"> given that </w:t>
      </w:r>
      <w:r w:rsidR="002E7828" w:rsidRPr="002E7828">
        <w:rPr>
          <w:rFonts w:ascii="Calibri" w:hAnsi="Calibri"/>
          <w:color w:val="000000" w:themeColor="text1"/>
        </w:rPr>
        <w:t>fruits and vegetables are the most freque</w:t>
      </w:r>
      <w:r w:rsidR="002E7828">
        <w:rPr>
          <w:rFonts w:ascii="Calibri" w:hAnsi="Calibri"/>
          <w:color w:val="000000" w:themeColor="text1"/>
        </w:rPr>
        <w:t>ntly lost</w:t>
      </w:r>
      <w:r w:rsidR="00B95FF9">
        <w:rPr>
          <w:rFonts w:ascii="Calibri" w:hAnsi="Calibri"/>
          <w:color w:val="000000" w:themeColor="text1"/>
        </w:rPr>
        <w:t xml:space="preserve"> or wasted food group by weight.</w:t>
      </w:r>
      <w:r w:rsidR="002E7828">
        <w:rPr>
          <w:rStyle w:val="EndnoteReference"/>
          <w:rFonts w:ascii="Calibri" w:hAnsi="Calibri"/>
          <w:color w:val="000000" w:themeColor="text1"/>
        </w:rPr>
        <w:endnoteReference w:id="4"/>
      </w:r>
      <w:r w:rsidR="002E7828">
        <w:rPr>
          <w:rFonts w:ascii="Calibri" w:hAnsi="Calibri"/>
          <w:color w:val="000000" w:themeColor="text1"/>
        </w:rPr>
        <w:t xml:space="preserve"> </w:t>
      </w:r>
      <w:r w:rsidR="00F7266C">
        <w:rPr>
          <w:rFonts w:ascii="Calibri" w:hAnsi="Calibri"/>
          <w:color w:val="000000" w:themeColor="text1"/>
        </w:rPr>
        <w:t>In addition,</w:t>
      </w:r>
      <w:r w:rsidR="00984886">
        <w:rPr>
          <w:rFonts w:ascii="Calibri" w:hAnsi="Calibri"/>
          <w:color w:val="000000" w:themeColor="text1"/>
        </w:rPr>
        <w:t xml:space="preserve"> f</w:t>
      </w:r>
      <w:r w:rsidRPr="00781F5E">
        <w:rPr>
          <w:rFonts w:eastAsia="Calibri" w:cs="Arial"/>
        </w:rPr>
        <w:t>ood that is harvested but ultimately lost or wasted consumes about one-quarter of all water used by agriculture each year</w:t>
      </w:r>
      <w:r w:rsidR="00984886">
        <w:rPr>
          <w:rFonts w:eastAsia="Calibri" w:cs="Arial"/>
        </w:rPr>
        <w:t>,</w:t>
      </w:r>
      <w:r w:rsidRPr="00781F5E">
        <w:rPr>
          <w:rFonts w:eastAsia="Calibri" w:cs="Arial"/>
          <w:vertAlign w:val="superscript"/>
        </w:rPr>
        <w:endnoteReference w:id="5"/>
      </w:r>
      <w:r w:rsidRPr="00781F5E">
        <w:rPr>
          <w:rFonts w:eastAsia="Calibri" w:cs="Arial"/>
        </w:rPr>
        <w:t xml:space="preserve"> </w:t>
      </w:r>
      <w:r w:rsidRPr="00781F5E">
        <w:rPr>
          <w:rFonts w:eastAsia="MS Mincho" w:cs="Calibri"/>
        </w:rPr>
        <w:t>requires</w:t>
      </w:r>
      <w:r w:rsidRPr="00781F5E">
        <w:rPr>
          <w:rFonts w:eastAsia="Calibri" w:cs="Arial"/>
        </w:rPr>
        <w:t xml:space="preserve"> cropland area </w:t>
      </w:r>
      <w:r w:rsidR="00464DD1">
        <w:rPr>
          <w:rFonts w:eastAsia="Calibri" w:cs="Arial"/>
        </w:rPr>
        <w:t>greater than the</w:t>
      </w:r>
      <w:r w:rsidRPr="00781F5E">
        <w:rPr>
          <w:rFonts w:eastAsia="Calibri" w:cs="Arial"/>
        </w:rPr>
        <w:t xml:space="preserve"> size of China</w:t>
      </w:r>
      <w:r w:rsidR="00984886">
        <w:rPr>
          <w:rFonts w:eastAsia="Calibri" w:cs="Arial"/>
        </w:rPr>
        <w:t>,</w:t>
      </w:r>
      <w:r w:rsidRPr="00781F5E">
        <w:rPr>
          <w:rFonts w:eastAsia="Calibri" w:cs="Arial"/>
          <w:vertAlign w:val="superscript"/>
        </w:rPr>
        <w:endnoteReference w:id="6"/>
      </w:r>
      <w:r w:rsidRPr="00781F5E">
        <w:rPr>
          <w:rFonts w:eastAsia="Calibri" w:cs="Arial"/>
        </w:rPr>
        <w:t xml:space="preserve"> </w:t>
      </w:r>
      <w:r w:rsidR="00984886">
        <w:rPr>
          <w:rFonts w:eastAsia="MS Mincho" w:cs="Calibri"/>
        </w:rPr>
        <w:t>and</w:t>
      </w:r>
      <w:r w:rsidRPr="00781F5E">
        <w:rPr>
          <w:rFonts w:eastAsia="MS Mincho" w:cs="Calibri"/>
        </w:rPr>
        <w:t xml:space="preserve"> g</w:t>
      </w:r>
      <w:r w:rsidRPr="00781F5E">
        <w:rPr>
          <w:rFonts w:eastAsia="Calibri" w:cs="Arial"/>
        </w:rPr>
        <w:t>enerates about 8 percent of global greenhouse gas emissions annually.</w:t>
      </w:r>
      <w:r w:rsidRPr="00781F5E">
        <w:rPr>
          <w:rFonts w:eastAsia="Calibri" w:cs="Arial"/>
          <w:vertAlign w:val="superscript"/>
        </w:rPr>
        <w:endnoteReference w:id="7"/>
      </w:r>
    </w:p>
    <w:p w14:paraId="4E4EBDF6" w14:textId="77777777" w:rsidR="00781F5E" w:rsidRDefault="00781F5E" w:rsidP="00222CAC">
      <w:pPr>
        <w:spacing w:after="0" w:line="240" w:lineRule="auto"/>
        <w:jc w:val="both"/>
        <w:rPr>
          <w:rFonts w:cs="Times New Roman"/>
          <w:color w:val="000000" w:themeColor="text1"/>
        </w:rPr>
      </w:pPr>
    </w:p>
    <w:p w14:paraId="3DDA75A3" w14:textId="77777777" w:rsidR="00087D4C" w:rsidRDefault="00984886" w:rsidP="00222CAC">
      <w:pPr>
        <w:spacing w:after="0" w:line="240" w:lineRule="auto"/>
        <w:ind w:right="-90"/>
        <w:jc w:val="both"/>
        <w:rPr>
          <w:rFonts w:eastAsia="MS Mincho" w:cs="Calibri"/>
          <w:color w:val="000000" w:themeColor="text1"/>
        </w:rPr>
      </w:pPr>
      <w:r w:rsidRPr="00984886">
        <w:rPr>
          <w:rFonts w:eastAsia="Calibri" w:cs="Arial"/>
          <w:color w:val="000000" w:themeColor="text1"/>
        </w:rPr>
        <w:t>Reducing food loss and waste</w:t>
      </w:r>
      <w:r>
        <w:rPr>
          <w:rFonts w:eastAsia="Calibri" w:cs="Arial"/>
          <w:color w:val="000000" w:themeColor="text1"/>
        </w:rPr>
        <w:t>, therefore,</w:t>
      </w:r>
      <w:r w:rsidRPr="00984886">
        <w:rPr>
          <w:rFonts w:eastAsia="Calibri" w:cs="Arial"/>
          <w:color w:val="000000" w:themeColor="text1"/>
        </w:rPr>
        <w:t xml:space="preserve"> can generate a “triple win.” It can save money for farmers, companies, and households. It can help feed more people. And it can alleviate pressure on water, land, and climate.</w:t>
      </w:r>
    </w:p>
    <w:p w14:paraId="00DFBDF1" w14:textId="77777777" w:rsidR="00087D4C" w:rsidRDefault="00087D4C" w:rsidP="00087D4C">
      <w:pPr>
        <w:spacing w:after="0" w:line="240" w:lineRule="auto"/>
        <w:ind w:right="-90"/>
        <w:jc w:val="both"/>
        <w:rPr>
          <w:rFonts w:eastAsia="MS Mincho" w:cs="Calibri"/>
          <w:color w:val="000000" w:themeColor="text1"/>
        </w:rPr>
      </w:pPr>
    </w:p>
    <w:p w14:paraId="22868438" w14:textId="092A7276" w:rsidR="007D5F4F" w:rsidRDefault="00984886" w:rsidP="00087D4C">
      <w:pPr>
        <w:spacing w:after="0" w:line="240" w:lineRule="auto"/>
        <w:ind w:right="-90"/>
        <w:jc w:val="both"/>
        <w:rPr>
          <w:rFonts w:cs="Times New Roman"/>
          <w:color w:val="000000" w:themeColor="text1"/>
        </w:rPr>
      </w:pPr>
      <w:r>
        <w:rPr>
          <w:rFonts w:eastAsia="MS Mincho" w:cs="Calibri"/>
          <w:color w:val="000000" w:themeColor="text1"/>
        </w:rPr>
        <w:t xml:space="preserve">Recognizing this potential, </w:t>
      </w:r>
      <w:r w:rsidRPr="00984886">
        <w:rPr>
          <w:rFonts w:eastAsia="MS Mincho" w:cs="Calibri"/>
          <w:color w:val="000000" w:themeColor="text1"/>
        </w:rPr>
        <w:t xml:space="preserve">the United Nations General Assembly highlighted </w:t>
      </w:r>
      <w:r>
        <w:rPr>
          <w:rFonts w:eastAsia="MS Mincho" w:cs="Calibri"/>
          <w:color w:val="000000" w:themeColor="text1"/>
        </w:rPr>
        <w:t>food loss and waste reduction</w:t>
      </w:r>
      <w:r w:rsidRPr="00984886">
        <w:rPr>
          <w:rFonts w:eastAsia="MS Mincho" w:cs="Calibri"/>
          <w:color w:val="000000" w:themeColor="text1"/>
        </w:rPr>
        <w:t xml:space="preserve"> as a priority </w:t>
      </w:r>
      <w:r w:rsidR="00FF3A5E">
        <w:rPr>
          <w:rFonts w:eastAsia="MS Mincho" w:cs="Calibri"/>
          <w:color w:val="000000" w:themeColor="text1"/>
        </w:rPr>
        <w:t>for</w:t>
      </w:r>
      <w:r w:rsidRPr="00984886">
        <w:rPr>
          <w:rFonts w:eastAsia="MS Mincho" w:cs="Calibri"/>
          <w:color w:val="000000" w:themeColor="text1"/>
        </w:rPr>
        <w:t xml:space="preserve"> the global agenda. In September 2015, </w:t>
      </w:r>
      <w:r>
        <w:rPr>
          <w:rFonts w:eastAsia="MS Mincho" w:cs="Calibri"/>
          <w:color w:val="000000" w:themeColor="text1"/>
        </w:rPr>
        <w:t>countries</w:t>
      </w:r>
      <w:r w:rsidRPr="00984886">
        <w:rPr>
          <w:rFonts w:eastAsia="MS Mincho" w:cs="Calibri"/>
          <w:color w:val="000000" w:themeColor="text1"/>
        </w:rPr>
        <w:t xml:space="preserve"> </w:t>
      </w:r>
      <w:r w:rsidR="00781F5E" w:rsidRPr="00781F5E">
        <w:rPr>
          <w:rFonts w:cs="Times New Roman"/>
          <w:color w:val="000000" w:themeColor="text1"/>
        </w:rPr>
        <w:t>of the world formally adopted a set of 17 Sustainable Development Goals (SDGs)—global goals to end poverty, protect the planet</w:t>
      </w:r>
      <w:r w:rsidR="00697343">
        <w:rPr>
          <w:rFonts w:cs="Times New Roman"/>
          <w:color w:val="000000" w:themeColor="text1"/>
        </w:rPr>
        <w:t>, and ensure prosperity for all</w:t>
      </w:r>
      <w:r w:rsidR="00B459DB">
        <w:rPr>
          <w:rFonts w:cs="Times New Roman"/>
          <w:color w:val="000000" w:themeColor="text1"/>
        </w:rPr>
        <w:t>—</w:t>
      </w:r>
      <w:r w:rsidR="00A93A3D">
        <w:rPr>
          <w:rFonts w:cs="Times New Roman"/>
          <w:color w:val="000000" w:themeColor="text1"/>
        </w:rPr>
        <w:t>as part of the 2030 Agenda for Sustainable Development</w:t>
      </w:r>
      <w:r w:rsidR="00697343">
        <w:rPr>
          <w:rFonts w:cs="Times New Roman"/>
          <w:color w:val="000000" w:themeColor="text1"/>
        </w:rPr>
        <w:t>.</w:t>
      </w:r>
      <w:r w:rsidR="007D5F4F">
        <w:rPr>
          <w:rStyle w:val="EndnoteReference"/>
          <w:rFonts w:cs="Times New Roman"/>
          <w:color w:val="000000" w:themeColor="text1"/>
        </w:rPr>
        <w:endnoteReference w:id="8"/>
      </w:r>
      <w:r w:rsidR="00697343">
        <w:rPr>
          <w:rFonts w:cs="Times New Roman"/>
          <w:color w:val="000000" w:themeColor="text1"/>
        </w:rPr>
        <w:t xml:space="preserve"> </w:t>
      </w:r>
      <w:r w:rsidR="007D5F4F">
        <w:rPr>
          <w:rFonts w:cs="Times New Roman"/>
          <w:color w:val="000000" w:themeColor="text1"/>
        </w:rPr>
        <w:t xml:space="preserve">For these goals and targets to be achieved, everyone needs to do their part: governments, </w:t>
      </w:r>
      <w:r w:rsidR="004F380C">
        <w:rPr>
          <w:rFonts w:cs="Times New Roman"/>
          <w:color w:val="000000" w:themeColor="text1"/>
        </w:rPr>
        <w:t xml:space="preserve">the </w:t>
      </w:r>
      <w:r w:rsidR="007D5F4F">
        <w:rPr>
          <w:rFonts w:cs="Times New Roman"/>
          <w:color w:val="000000" w:themeColor="text1"/>
        </w:rPr>
        <w:t>private sector, and civil society.</w:t>
      </w:r>
      <w:r w:rsidR="007D5F4F" w:rsidRPr="007D5F4F">
        <w:rPr>
          <w:rFonts w:cs="Times New Roman"/>
          <w:color w:val="000000" w:themeColor="text1"/>
        </w:rPr>
        <w:t xml:space="preserve"> </w:t>
      </w:r>
      <w:r w:rsidR="007D5F4F">
        <w:rPr>
          <w:rFonts w:cs="Times New Roman"/>
          <w:color w:val="000000" w:themeColor="text1"/>
        </w:rPr>
        <w:t xml:space="preserve">Although countries have the primary responsibility for follow-up and review of progress toward these goals, actions by the private sector and citizens </w:t>
      </w:r>
      <w:r w:rsidR="004F380C">
        <w:rPr>
          <w:rFonts w:cs="Times New Roman"/>
          <w:color w:val="000000" w:themeColor="text1"/>
        </w:rPr>
        <w:t xml:space="preserve">also </w:t>
      </w:r>
      <w:r w:rsidR="007D5F4F">
        <w:rPr>
          <w:rFonts w:cs="Times New Roman"/>
          <w:color w:val="000000" w:themeColor="text1"/>
        </w:rPr>
        <w:t>will be critical to achieving the SDGs.</w:t>
      </w:r>
    </w:p>
    <w:p w14:paraId="1D8B1EA1" w14:textId="77777777" w:rsidR="007D5F4F" w:rsidRDefault="007D5F4F" w:rsidP="00087D4C">
      <w:pPr>
        <w:spacing w:after="0" w:line="240" w:lineRule="auto"/>
        <w:ind w:right="-90"/>
        <w:jc w:val="both"/>
        <w:rPr>
          <w:rFonts w:cs="Times New Roman"/>
          <w:color w:val="000000" w:themeColor="text1"/>
        </w:rPr>
      </w:pPr>
    </w:p>
    <w:p w14:paraId="7D22D400" w14:textId="77777777" w:rsidR="00781F5E" w:rsidRPr="007D5F4F" w:rsidRDefault="007D5F4F" w:rsidP="00087D4C">
      <w:pPr>
        <w:spacing w:after="0" w:line="240" w:lineRule="auto"/>
        <w:ind w:right="-90"/>
        <w:jc w:val="both"/>
        <w:rPr>
          <w:rFonts w:cs="Times New Roman"/>
          <w:color w:val="000000" w:themeColor="text1"/>
        </w:rPr>
      </w:pPr>
      <w:r>
        <w:rPr>
          <w:rFonts w:cs="Times New Roman"/>
          <w:color w:val="000000" w:themeColor="text1"/>
        </w:rPr>
        <w:t xml:space="preserve">Each goal has a set of targets to be achieved by 2030. </w:t>
      </w:r>
      <w:r w:rsidR="00781F5E" w:rsidRPr="00781F5E">
        <w:rPr>
          <w:rFonts w:cs="Times New Roman"/>
        </w:rPr>
        <w:t xml:space="preserve">SDG 12 seeks to “ensure sustainable consumption and production patterns.” The third target under this goal, Target 12.3, </w:t>
      </w:r>
      <w:r w:rsidR="00781F5E">
        <w:rPr>
          <w:rFonts w:cs="Times New Roman"/>
        </w:rPr>
        <w:t>states:</w:t>
      </w:r>
    </w:p>
    <w:p w14:paraId="3C2BED76" w14:textId="77777777" w:rsidR="00781F5E" w:rsidRDefault="00781F5E" w:rsidP="00087D4C">
      <w:pPr>
        <w:spacing w:after="0" w:line="240" w:lineRule="auto"/>
        <w:jc w:val="both"/>
        <w:rPr>
          <w:rFonts w:cs="Times New Roman"/>
        </w:rPr>
      </w:pPr>
    </w:p>
    <w:p w14:paraId="7C41A7D9" w14:textId="77777777" w:rsidR="00087D4C" w:rsidRPr="0040350C" w:rsidRDefault="00984886" w:rsidP="00087D4C">
      <w:pPr>
        <w:spacing w:after="0" w:line="240" w:lineRule="auto"/>
        <w:jc w:val="center"/>
      </w:pPr>
      <w:r w:rsidRPr="0040350C">
        <w:t>“</w:t>
      </w:r>
      <w:r w:rsidR="00781F5E" w:rsidRPr="0040350C">
        <w:t>By 2030, halve per capita global food waste at the retail and consumer levels</w:t>
      </w:r>
    </w:p>
    <w:p w14:paraId="431F555C" w14:textId="453BC641" w:rsidR="006240D9" w:rsidRDefault="00781F5E" w:rsidP="00087D4C">
      <w:pPr>
        <w:spacing w:after="0" w:line="240" w:lineRule="auto"/>
        <w:jc w:val="center"/>
        <w:rPr>
          <w:rFonts w:cs="Times New Roman"/>
        </w:rPr>
      </w:pPr>
      <w:r w:rsidRPr="0040350C">
        <w:t>and reduce food losses along production and supply chains, including post-harvest losses</w:t>
      </w:r>
      <w:r w:rsidR="00984886" w:rsidRPr="0040350C">
        <w:t>.”</w:t>
      </w:r>
    </w:p>
    <w:p w14:paraId="5B581005" w14:textId="77777777" w:rsidR="00B459DB" w:rsidRDefault="00B459DB" w:rsidP="00431F4D">
      <w:pPr>
        <w:spacing w:after="0" w:line="240" w:lineRule="auto"/>
        <w:jc w:val="center"/>
        <w:rPr>
          <w:rFonts w:cs="Times New Roman"/>
        </w:rPr>
      </w:pPr>
    </w:p>
    <w:p w14:paraId="5C6B7CD6" w14:textId="77777777" w:rsidR="00A945DA" w:rsidRPr="00A945DA" w:rsidRDefault="00A945DA" w:rsidP="00A945DA">
      <w:pPr>
        <w:spacing w:after="120" w:line="240" w:lineRule="auto"/>
        <w:ind w:right="-86"/>
        <w:jc w:val="both"/>
        <w:rPr>
          <w:rFonts w:eastAsia="MS Mincho" w:cs="Calibri"/>
          <w:b/>
          <w:color w:val="000099"/>
        </w:rPr>
      </w:pPr>
      <w:r w:rsidRPr="001A3588">
        <w:rPr>
          <w:rFonts w:eastAsia="MS Mincho" w:cs="Calibri"/>
          <w:b/>
          <w:color w:val="000099"/>
        </w:rPr>
        <w:t xml:space="preserve">THE </w:t>
      </w:r>
      <w:r>
        <w:rPr>
          <w:rFonts w:eastAsia="MS Mincho" w:cs="Calibri"/>
          <w:b/>
          <w:color w:val="000099"/>
        </w:rPr>
        <w:t>AMBIGUITY</w:t>
      </w:r>
    </w:p>
    <w:p w14:paraId="22A10299" w14:textId="70A5BE0A" w:rsidR="00D62D17" w:rsidRDefault="00766B4E" w:rsidP="00D62D17">
      <w:pPr>
        <w:spacing w:after="120" w:line="240" w:lineRule="auto"/>
        <w:jc w:val="both"/>
        <w:rPr>
          <w:rFonts w:cs="Times New Roman"/>
        </w:rPr>
      </w:pPr>
      <w:r>
        <w:rPr>
          <w:rFonts w:cs="Times New Roman"/>
        </w:rPr>
        <w:t>However, conversations with many people indicate that, i</w:t>
      </w:r>
      <w:r w:rsidR="00984886">
        <w:rPr>
          <w:rFonts w:cs="Times New Roman"/>
        </w:rPr>
        <w:t xml:space="preserve">n several </w:t>
      </w:r>
      <w:r w:rsidR="001A3588">
        <w:rPr>
          <w:rFonts w:cs="Times New Roman"/>
        </w:rPr>
        <w:t>respects</w:t>
      </w:r>
      <w:r w:rsidR="00984886">
        <w:rPr>
          <w:rFonts w:cs="Times New Roman"/>
        </w:rPr>
        <w:t xml:space="preserve">, the exact meaning of </w:t>
      </w:r>
      <w:r w:rsidR="00242238">
        <w:rPr>
          <w:rFonts w:cs="Times New Roman"/>
        </w:rPr>
        <w:t>SDG Target 12.3</w:t>
      </w:r>
      <w:r w:rsidR="00D62D17">
        <w:rPr>
          <w:rFonts w:cs="Times New Roman"/>
        </w:rPr>
        <w:t xml:space="preserve"> is </w:t>
      </w:r>
      <w:r w:rsidR="00EA780C">
        <w:rPr>
          <w:rFonts w:cs="Times New Roman"/>
        </w:rPr>
        <w:t>somewhat</w:t>
      </w:r>
      <w:r w:rsidR="00BE1BEC">
        <w:rPr>
          <w:rFonts w:cs="Times New Roman"/>
        </w:rPr>
        <w:t xml:space="preserve"> </w:t>
      </w:r>
      <w:r w:rsidR="00697343">
        <w:rPr>
          <w:rFonts w:cs="Times New Roman"/>
        </w:rPr>
        <w:t>ambiguous</w:t>
      </w:r>
      <w:r>
        <w:rPr>
          <w:rFonts w:cs="Times New Roman"/>
        </w:rPr>
        <w:t>. In particular</w:t>
      </w:r>
      <w:r w:rsidR="00D62D17">
        <w:rPr>
          <w:rFonts w:cs="Times New Roman"/>
        </w:rPr>
        <w:t>:</w:t>
      </w:r>
    </w:p>
    <w:p w14:paraId="15ED6DCB" w14:textId="71639E8C" w:rsidR="00D62D17" w:rsidRDefault="00D62D17" w:rsidP="00D62D17">
      <w:pPr>
        <w:pStyle w:val="ListParagraph"/>
        <w:numPr>
          <w:ilvl w:val="0"/>
          <w:numId w:val="4"/>
        </w:numPr>
        <w:spacing w:after="120" w:line="240" w:lineRule="auto"/>
        <w:contextualSpacing w:val="0"/>
        <w:jc w:val="both"/>
        <w:rPr>
          <w:rFonts w:cs="Times New Roman"/>
        </w:rPr>
      </w:pPr>
      <w:r>
        <w:rPr>
          <w:rFonts w:cs="Times New Roman"/>
        </w:rPr>
        <w:t>I</w:t>
      </w:r>
      <w:r w:rsidR="00984886" w:rsidRPr="00D62D17">
        <w:rPr>
          <w:rFonts w:cs="Times New Roman"/>
        </w:rPr>
        <w:t xml:space="preserve">t is </w:t>
      </w:r>
      <w:r w:rsidR="00BE1BEC">
        <w:rPr>
          <w:rFonts w:cs="Times New Roman"/>
        </w:rPr>
        <w:t>not explicit</w:t>
      </w:r>
      <w:r w:rsidR="00984886" w:rsidRPr="00D62D17">
        <w:rPr>
          <w:rFonts w:cs="Times New Roman"/>
        </w:rPr>
        <w:t xml:space="preserve"> whether it covers the </w:t>
      </w:r>
      <w:r w:rsidR="00283A8B">
        <w:rPr>
          <w:rFonts w:cs="Times New Roman"/>
        </w:rPr>
        <w:t xml:space="preserve">entire food supply chain, including sectors such as </w:t>
      </w:r>
      <w:r w:rsidR="00984886" w:rsidRPr="00D62D17">
        <w:rPr>
          <w:rFonts w:cs="Times New Roman"/>
        </w:rPr>
        <w:t xml:space="preserve">food manufacturing, hospitality, and food service. </w:t>
      </w:r>
    </w:p>
    <w:p w14:paraId="5099BFCA" w14:textId="77777777" w:rsidR="00D62D17" w:rsidRDefault="00D62D17" w:rsidP="00D62D17">
      <w:pPr>
        <w:pStyle w:val="ListParagraph"/>
        <w:numPr>
          <w:ilvl w:val="0"/>
          <w:numId w:val="4"/>
        </w:numPr>
        <w:spacing w:after="120" w:line="240" w:lineRule="auto"/>
        <w:contextualSpacing w:val="0"/>
        <w:jc w:val="both"/>
        <w:rPr>
          <w:rFonts w:cs="Times New Roman"/>
        </w:rPr>
      </w:pPr>
      <w:r>
        <w:rPr>
          <w:rFonts w:cs="Times New Roman"/>
        </w:rPr>
        <w:t>A</w:t>
      </w:r>
      <w:r w:rsidR="00984886" w:rsidRPr="00D62D17">
        <w:rPr>
          <w:rFonts w:cs="Times New Roman"/>
        </w:rPr>
        <w:t xml:space="preserve">lthough it has a quantified target for </w:t>
      </w:r>
      <w:r>
        <w:rPr>
          <w:rFonts w:cs="Times New Roman"/>
        </w:rPr>
        <w:t>“</w:t>
      </w:r>
      <w:r w:rsidR="00984886" w:rsidRPr="00D62D17">
        <w:rPr>
          <w:rFonts w:cs="Times New Roman"/>
        </w:rPr>
        <w:t>food waste,</w:t>
      </w:r>
      <w:r>
        <w:rPr>
          <w:rFonts w:cs="Times New Roman"/>
        </w:rPr>
        <w:t>”</w:t>
      </w:r>
      <w:r w:rsidR="00984886" w:rsidRPr="00D62D17">
        <w:rPr>
          <w:rFonts w:cs="Times New Roman"/>
        </w:rPr>
        <w:t xml:space="preserve"> it does not have a quantified target for </w:t>
      </w:r>
      <w:r>
        <w:rPr>
          <w:rFonts w:cs="Times New Roman"/>
        </w:rPr>
        <w:t>“</w:t>
      </w:r>
      <w:r w:rsidR="00984886" w:rsidRPr="00D62D17">
        <w:rPr>
          <w:rFonts w:cs="Times New Roman"/>
        </w:rPr>
        <w:t>food losses.</w:t>
      </w:r>
      <w:r>
        <w:rPr>
          <w:rFonts w:cs="Times New Roman"/>
        </w:rPr>
        <w:t>”</w:t>
      </w:r>
      <w:r w:rsidR="00984886" w:rsidRPr="00D62D17">
        <w:rPr>
          <w:rFonts w:cs="Times New Roman"/>
        </w:rPr>
        <w:t xml:space="preserve"> </w:t>
      </w:r>
    </w:p>
    <w:p w14:paraId="355F8751" w14:textId="3B849CD0" w:rsidR="00DF17BB" w:rsidRPr="00EC2E0C" w:rsidRDefault="00D62D17" w:rsidP="00DF17BB">
      <w:pPr>
        <w:pStyle w:val="ListParagraph"/>
        <w:numPr>
          <w:ilvl w:val="0"/>
          <w:numId w:val="4"/>
        </w:numPr>
        <w:spacing w:after="120" w:line="240" w:lineRule="auto"/>
        <w:contextualSpacing w:val="0"/>
        <w:jc w:val="both"/>
        <w:rPr>
          <w:rFonts w:cs="Times New Roman"/>
        </w:rPr>
      </w:pPr>
      <w:r w:rsidRPr="00EC2E0C">
        <w:rPr>
          <w:rFonts w:cs="Times New Roman"/>
        </w:rPr>
        <w:lastRenderedPageBreak/>
        <w:t>I</w:t>
      </w:r>
      <w:r w:rsidR="00087D4C" w:rsidRPr="00EC2E0C">
        <w:rPr>
          <w:rFonts w:cs="Times New Roman"/>
        </w:rPr>
        <w:t>t is unclear whether the target covers only food or both food and its associated inedible parts</w:t>
      </w:r>
      <w:r w:rsidR="00D91370">
        <w:rPr>
          <w:rFonts w:cs="Times New Roman"/>
        </w:rPr>
        <w:t xml:space="preserve"> (e.g., bones, rinds, pits/stones)</w:t>
      </w:r>
      <w:r w:rsidR="00087D4C" w:rsidRPr="00EC2E0C">
        <w:rPr>
          <w:rFonts w:cs="Times New Roman"/>
        </w:rPr>
        <w:t>.</w:t>
      </w:r>
    </w:p>
    <w:p w14:paraId="2CD70D96" w14:textId="77777777" w:rsidR="00984886" w:rsidRPr="00EC2E0C" w:rsidRDefault="00DF17BB" w:rsidP="002C2AE6">
      <w:pPr>
        <w:pStyle w:val="ListParagraph"/>
        <w:numPr>
          <w:ilvl w:val="0"/>
          <w:numId w:val="4"/>
        </w:numPr>
        <w:spacing w:after="120" w:line="240" w:lineRule="auto"/>
        <w:contextualSpacing w:val="0"/>
        <w:jc w:val="both"/>
        <w:rPr>
          <w:rFonts w:cs="Times New Roman"/>
        </w:rPr>
      </w:pPr>
      <w:r w:rsidRPr="00EC2E0C">
        <w:rPr>
          <w:rFonts w:cs="Times New Roman"/>
        </w:rPr>
        <w:t>I</w:t>
      </w:r>
      <w:r w:rsidR="00984886" w:rsidRPr="00EC2E0C">
        <w:rPr>
          <w:rFonts w:cs="Times New Roman"/>
        </w:rPr>
        <w:t xml:space="preserve">t </w:t>
      </w:r>
      <w:r w:rsidRPr="00EC2E0C">
        <w:rPr>
          <w:rFonts w:cs="Times New Roman"/>
        </w:rPr>
        <w:t>is unclear</w:t>
      </w:r>
      <w:r w:rsidR="00242238" w:rsidRPr="00EC2E0C">
        <w:rPr>
          <w:rFonts w:cs="Times New Roman"/>
        </w:rPr>
        <w:t xml:space="preserve"> </w:t>
      </w:r>
      <w:r w:rsidR="00984886" w:rsidRPr="00EC2E0C">
        <w:rPr>
          <w:rFonts w:cs="Times New Roman"/>
        </w:rPr>
        <w:t>which destinations (e.g., sewer, landfill, composting</w:t>
      </w:r>
      <w:r w:rsidR="00087D4C" w:rsidRPr="00EC2E0C">
        <w:rPr>
          <w:rFonts w:cs="Times New Roman"/>
        </w:rPr>
        <w:t>, animal feed</w:t>
      </w:r>
      <w:r w:rsidR="00984886" w:rsidRPr="00EC2E0C">
        <w:rPr>
          <w:rFonts w:cs="Times New Roman"/>
        </w:rPr>
        <w:t>) constitute “loss</w:t>
      </w:r>
      <w:r w:rsidR="001701AD">
        <w:rPr>
          <w:rFonts w:cs="Times New Roman"/>
        </w:rPr>
        <w:t>es”</w:t>
      </w:r>
      <w:r w:rsidR="00984886" w:rsidRPr="00EC2E0C">
        <w:rPr>
          <w:rFonts w:cs="Times New Roman"/>
        </w:rPr>
        <w:t xml:space="preserve"> and </w:t>
      </w:r>
      <w:r w:rsidR="001701AD">
        <w:rPr>
          <w:rFonts w:cs="Times New Roman"/>
        </w:rPr>
        <w:t>“</w:t>
      </w:r>
      <w:r w:rsidR="00984886" w:rsidRPr="00EC2E0C">
        <w:rPr>
          <w:rFonts w:cs="Times New Roman"/>
        </w:rPr>
        <w:t>waste.”</w:t>
      </w:r>
    </w:p>
    <w:p w14:paraId="51310131" w14:textId="77777777" w:rsidR="002C2AE6" w:rsidRPr="00EC2E0C" w:rsidRDefault="00D47822" w:rsidP="00EE43DF">
      <w:pPr>
        <w:pStyle w:val="ListParagraph"/>
        <w:numPr>
          <w:ilvl w:val="0"/>
          <w:numId w:val="4"/>
        </w:numPr>
        <w:spacing w:after="0" w:line="240" w:lineRule="auto"/>
        <w:jc w:val="both"/>
        <w:rPr>
          <w:rFonts w:cs="Times New Roman"/>
        </w:rPr>
      </w:pPr>
      <w:r>
        <w:rPr>
          <w:rFonts w:cs="Times New Roman"/>
        </w:rPr>
        <w:t>T</w:t>
      </w:r>
      <w:r w:rsidR="002C2AE6" w:rsidRPr="00EC2E0C">
        <w:rPr>
          <w:rFonts w:cs="Times New Roman"/>
        </w:rPr>
        <w:t xml:space="preserve">he existing </w:t>
      </w:r>
      <w:r w:rsidR="00F20B38">
        <w:rPr>
          <w:rFonts w:cs="Times New Roman"/>
        </w:rPr>
        <w:t xml:space="preserve">United Nations </w:t>
      </w:r>
      <w:r w:rsidR="001C75BA">
        <w:rPr>
          <w:rFonts w:cs="Times New Roman"/>
        </w:rPr>
        <w:t xml:space="preserve">(UN) </w:t>
      </w:r>
      <w:r w:rsidR="002C2AE6" w:rsidRPr="00EC2E0C">
        <w:rPr>
          <w:rFonts w:cs="Times New Roman"/>
        </w:rPr>
        <w:t xml:space="preserve">“indicator” </w:t>
      </w:r>
      <w:r w:rsidR="004442B8" w:rsidRPr="00EC2E0C">
        <w:rPr>
          <w:rFonts w:cs="Times New Roman"/>
        </w:rPr>
        <w:t>for monitoring</w:t>
      </w:r>
      <w:r w:rsidR="00F20B38">
        <w:rPr>
          <w:rFonts w:cs="Times New Roman"/>
        </w:rPr>
        <w:t xml:space="preserve"> country progress</w:t>
      </w:r>
      <w:r w:rsidR="001C75BA">
        <w:rPr>
          <w:rStyle w:val="EndnoteReference"/>
          <w:rFonts w:cs="Times New Roman"/>
        </w:rPr>
        <w:endnoteReference w:id="9"/>
      </w:r>
      <w:r w:rsidR="00F20B38">
        <w:rPr>
          <w:rFonts w:cs="Times New Roman"/>
        </w:rPr>
        <w:t xml:space="preserve"> toward</w:t>
      </w:r>
      <w:r w:rsidR="004442B8" w:rsidRPr="00EC2E0C">
        <w:rPr>
          <w:rFonts w:cs="Times New Roman"/>
        </w:rPr>
        <w:t xml:space="preserve"> SDG Target 12.3—</w:t>
      </w:r>
      <w:r w:rsidR="002C2AE6" w:rsidRPr="00EC2E0C">
        <w:rPr>
          <w:rFonts w:cs="Times New Roman"/>
        </w:rPr>
        <w:t xml:space="preserve">the </w:t>
      </w:r>
      <w:r w:rsidR="004442B8" w:rsidRPr="00EC2E0C">
        <w:rPr>
          <w:rFonts w:cs="Times New Roman"/>
        </w:rPr>
        <w:t>Food Loss Index—</w:t>
      </w:r>
      <w:r w:rsidR="00F20B38">
        <w:rPr>
          <w:rFonts w:cs="Times New Roman"/>
        </w:rPr>
        <w:t xml:space="preserve">only </w:t>
      </w:r>
      <w:r w:rsidR="004442B8" w:rsidRPr="00EC2E0C">
        <w:rPr>
          <w:rFonts w:cs="Times New Roman"/>
        </w:rPr>
        <w:t>covers</w:t>
      </w:r>
      <w:r w:rsidR="002C2AE6" w:rsidRPr="00EC2E0C">
        <w:rPr>
          <w:rFonts w:cs="Times New Roman"/>
        </w:rPr>
        <w:t xml:space="preserve"> </w:t>
      </w:r>
      <w:r w:rsidR="00BE23A4" w:rsidRPr="00EC2E0C">
        <w:rPr>
          <w:rFonts w:cs="Times New Roman"/>
        </w:rPr>
        <w:t xml:space="preserve">the </w:t>
      </w:r>
      <w:r w:rsidR="00F20B38">
        <w:rPr>
          <w:rFonts w:cs="Times New Roman"/>
        </w:rPr>
        <w:t xml:space="preserve">food loss portion of the target, </w:t>
      </w:r>
      <w:r w:rsidR="004442B8" w:rsidRPr="00EC2E0C">
        <w:rPr>
          <w:rFonts w:cs="Times New Roman"/>
        </w:rPr>
        <w:t xml:space="preserve">not </w:t>
      </w:r>
      <w:r w:rsidR="00BE23A4" w:rsidRPr="00EC2E0C">
        <w:rPr>
          <w:rFonts w:cs="Times New Roman"/>
        </w:rPr>
        <w:t xml:space="preserve">the </w:t>
      </w:r>
      <w:r w:rsidR="004442B8" w:rsidRPr="00EC2E0C">
        <w:rPr>
          <w:rFonts w:cs="Times New Roman"/>
        </w:rPr>
        <w:t>food waste</w:t>
      </w:r>
      <w:r w:rsidR="00BE23A4" w:rsidRPr="00EC2E0C">
        <w:rPr>
          <w:rFonts w:cs="Times New Roman"/>
        </w:rPr>
        <w:t xml:space="preserve"> portion</w:t>
      </w:r>
      <w:r w:rsidR="004442B8" w:rsidRPr="00EC2E0C">
        <w:rPr>
          <w:rFonts w:cs="Times New Roman"/>
        </w:rPr>
        <w:t>.</w:t>
      </w:r>
      <w:r w:rsidR="00AE6F88">
        <w:rPr>
          <w:rStyle w:val="EndnoteReference"/>
          <w:rFonts w:cs="Times New Roman"/>
        </w:rPr>
        <w:endnoteReference w:id="10"/>
      </w:r>
    </w:p>
    <w:p w14:paraId="60079C80" w14:textId="77777777" w:rsidR="00A945DA" w:rsidRDefault="00A945DA" w:rsidP="00087D4C">
      <w:pPr>
        <w:spacing w:after="0" w:line="240" w:lineRule="auto"/>
        <w:jc w:val="both"/>
        <w:rPr>
          <w:rFonts w:cs="Times New Roman"/>
        </w:rPr>
      </w:pPr>
    </w:p>
    <w:p w14:paraId="1F0BC354" w14:textId="1906509A" w:rsidR="00A945DA" w:rsidRDefault="00A945DA" w:rsidP="00C12983">
      <w:pPr>
        <w:spacing w:after="0" w:line="240" w:lineRule="auto"/>
        <w:jc w:val="both"/>
        <w:rPr>
          <w:rFonts w:cs="Times New Roman"/>
        </w:rPr>
      </w:pPr>
      <w:r>
        <w:t xml:space="preserve">This </w:t>
      </w:r>
      <w:r w:rsidR="0004321E">
        <w:t>ambiguity</w:t>
      </w:r>
      <w:r>
        <w:t xml:space="preserve"> has the potential to cre</w:t>
      </w:r>
      <w:r w:rsidR="00AC45CF">
        <w:t xml:space="preserve">ate </w:t>
      </w:r>
      <w:r w:rsidR="00BE1BEC">
        <w:t>uncertainty</w:t>
      </w:r>
      <w:r w:rsidR="00AC45CF">
        <w:t xml:space="preserve"> among governments, </w:t>
      </w:r>
      <w:r>
        <w:t>companies</w:t>
      </w:r>
      <w:r w:rsidR="00AC45CF">
        <w:t>, and civil society</w:t>
      </w:r>
      <w:r>
        <w:t xml:space="preserve"> about what they should be aspiring to achieve. </w:t>
      </w:r>
      <w:r w:rsidR="00BE1BEC">
        <w:t>Uncertainty</w:t>
      </w:r>
      <w:r w:rsidR="008E4F66">
        <w:t xml:space="preserve"> can breed inaction. </w:t>
      </w:r>
      <w:r w:rsidR="00BE1BEC">
        <w:t>It</w:t>
      </w:r>
      <w:r>
        <w:t xml:space="preserve"> </w:t>
      </w:r>
      <w:r w:rsidR="008E4F66">
        <w:t>can</w:t>
      </w:r>
      <w:r>
        <w:t xml:space="preserve"> complicate measuring progress </w:t>
      </w:r>
      <w:r w:rsidR="00EA780C">
        <w:t>toward</w:t>
      </w:r>
      <w:r>
        <w:t xml:space="preserve"> the </w:t>
      </w:r>
      <w:r w:rsidR="006240D9">
        <w:t>t</w:t>
      </w:r>
      <w:r>
        <w:t xml:space="preserve">arget and comparing results. </w:t>
      </w:r>
      <w:r w:rsidR="008E4F66">
        <w:t xml:space="preserve">And </w:t>
      </w:r>
      <w:r w:rsidR="00BE1BEC">
        <w:t>it</w:t>
      </w:r>
      <w:r>
        <w:t xml:space="preserve"> </w:t>
      </w:r>
      <w:r w:rsidR="008E4F66">
        <w:t>can</w:t>
      </w:r>
      <w:r>
        <w:t xml:space="preserve"> hinder ambition</w:t>
      </w:r>
      <w:r w:rsidR="006240D9">
        <w:t>, since</w:t>
      </w:r>
      <w:r>
        <w:t xml:space="preserve"> entire sectors</w:t>
      </w:r>
      <w:r w:rsidR="0040350C">
        <w:t xml:space="preserve"> </w:t>
      </w:r>
      <w:r w:rsidR="00AC45CF">
        <w:t>might</w:t>
      </w:r>
      <w:r w:rsidR="0040350C">
        <w:t xml:space="preserve"> think they are excluded</w:t>
      </w:r>
      <w:r w:rsidR="00744381">
        <w:t>,</w:t>
      </w:r>
      <w:r w:rsidR="0040350C">
        <w:t xml:space="preserve"> </w:t>
      </w:r>
      <w:r w:rsidR="00AC45CF">
        <w:t>or</w:t>
      </w:r>
      <w:r w:rsidR="0040350C">
        <w:t xml:space="preserve"> entities </w:t>
      </w:r>
      <w:r w:rsidR="00AC45CF">
        <w:t>might</w:t>
      </w:r>
      <w:r w:rsidR="0040350C">
        <w:t xml:space="preserve"> not consider certain </w:t>
      </w:r>
      <w:r>
        <w:t>de</w:t>
      </w:r>
      <w:r w:rsidR="0040350C">
        <w:t xml:space="preserve">stinations as </w:t>
      </w:r>
      <w:r>
        <w:t>“food loss and waste”</w:t>
      </w:r>
      <w:r w:rsidR="0040350C">
        <w:t xml:space="preserve"> and thus </w:t>
      </w:r>
      <w:r w:rsidR="00632437">
        <w:t>not</w:t>
      </w:r>
      <w:r w:rsidR="0040350C">
        <w:t xml:space="preserve"> take action</w:t>
      </w:r>
      <w:r w:rsidR="008E4F66">
        <w:t xml:space="preserve"> where appropriate</w:t>
      </w:r>
      <w:r>
        <w:t>.</w:t>
      </w:r>
    </w:p>
    <w:p w14:paraId="2151256A" w14:textId="77777777" w:rsidR="00EE43DF" w:rsidRDefault="00EE43DF" w:rsidP="00EE43DF">
      <w:pPr>
        <w:spacing w:after="0" w:line="240" w:lineRule="auto"/>
        <w:rPr>
          <w:b/>
          <w:color w:val="000099"/>
        </w:rPr>
      </w:pPr>
    </w:p>
    <w:p w14:paraId="41151A51" w14:textId="77777777" w:rsidR="001A3588" w:rsidRPr="001A3588" w:rsidRDefault="001A3588" w:rsidP="00C63349">
      <w:pPr>
        <w:spacing w:after="120" w:line="240" w:lineRule="auto"/>
        <w:rPr>
          <w:b/>
          <w:color w:val="000099"/>
        </w:rPr>
      </w:pPr>
      <w:r w:rsidRPr="001A3588">
        <w:rPr>
          <w:b/>
          <w:color w:val="000099"/>
        </w:rPr>
        <w:t xml:space="preserve">THE </w:t>
      </w:r>
      <w:r>
        <w:rPr>
          <w:b/>
          <w:color w:val="000099"/>
        </w:rPr>
        <w:t>CLARIFICATION</w:t>
      </w:r>
      <w:r w:rsidR="00C625A1" w:rsidRPr="00C625A1">
        <w:rPr>
          <w:noProof/>
        </w:rPr>
        <w:t xml:space="preserve"> </w:t>
      </w:r>
    </w:p>
    <w:p w14:paraId="619F61DA" w14:textId="0841C5CF" w:rsidR="00242238" w:rsidRDefault="00A945DA" w:rsidP="00D62D17">
      <w:pPr>
        <w:spacing w:after="120" w:line="240" w:lineRule="auto"/>
        <w:jc w:val="both"/>
      </w:pPr>
      <w:r>
        <w:t>In response to this ambiguity</w:t>
      </w:r>
      <w:r w:rsidR="00C63349">
        <w:t xml:space="preserve">, </w:t>
      </w:r>
      <w:r w:rsidR="00766B4E">
        <w:t>this document</w:t>
      </w:r>
      <w:r w:rsidR="00C63349">
        <w:t xml:space="preserve"> </w:t>
      </w:r>
      <w:r w:rsidR="0040350C">
        <w:t xml:space="preserve">proposes the following as </w:t>
      </w:r>
      <w:r w:rsidR="00C63349">
        <w:t>an appropriate</w:t>
      </w:r>
      <w:r w:rsidR="0040350C">
        <w:t>ly ambitious</w:t>
      </w:r>
      <w:r w:rsidR="00C63349">
        <w:t xml:space="preserve"> </w:t>
      </w:r>
      <w:r w:rsidR="00766B4E">
        <w:t>interpretation</w:t>
      </w:r>
      <w:r w:rsidR="0040350C">
        <w:t xml:space="preserve"> of the SDG target on food loss and waste</w:t>
      </w:r>
      <w:r w:rsidR="000347BD">
        <w:t xml:space="preserve">. </w:t>
      </w:r>
      <w:r w:rsidR="00766B4E">
        <w:t>Clearly</w:t>
      </w:r>
      <w:r w:rsidR="000347BD" w:rsidRPr="000347BD">
        <w:t xml:space="preserve"> it is not possible to add to or change the actual wording of Target 12.3, since all the SDG targets were formally agreed upon in 2015 by member countries of the United Nations after a multiyear process. Nonetheless, the </w:t>
      </w:r>
      <w:r w:rsidR="00766B4E">
        <w:t>interpretation</w:t>
      </w:r>
      <w:r w:rsidR="000347BD" w:rsidRPr="000347BD">
        <w:t xml:space="preserve"> </w:t>
      </w:r>
      <w:r w:rsidR="000347BD">
        <w:t>below</w:t>
      </w:r>
      <w:r w:rsidR="000347BD" w:rsidRPr="000347BD">
        <w:t xml:space="preserve"> </w:t>
      </w:r>
      <w:r w:rsidR="00632437">
        <w:t>could</w:t>
      </w:r>
      <w:r w:rsidR="001C75BA">
        <w:t xml:space="preserve"> be considered </w:t>
      </w:r>
      <w:r w:rsidR="00766B4E">
        <w:t>“</w:t>
      </w:r>
      <w:r w:rsidR="001C75BA">
        <w:t>best practice</w:t>
      </w:r>
      <w:r w:rsidR="00766B4E">
        <w:t>”</w:t>
      </w:r>
      <w:r w:rsidR="000347BD" w:rsidRPr="000347BD">
        <w:t xml:space="preserve"> </w:t>
      </w:r>
      <w:r w:rsidR="001C75BA">
        <w:t xml:space="preserve">or a “north star” </w:t>
      </w:r>
      <w:r w:rsidR="004442B8">
        <w:t>for</w:t>
      </w:r>
      <w:r w:rsidR="000347BD" w:rsidRPr="000347BD">
        <w:t xml:space="preserve"> how </w:t>
      </w:r>
      <w:r w:rsidR="004442B8">
        <w:t xml:space="preserve">governments and companies </w:t>
      </w:r>
      <w:r w:rsidR="001C75BA">
        <w:t xml:space="preserve">should interpret </w:t>
      </w:r>
      <w:r w:rsidR="000347BD" w:rsidRPr="000347BD">
        <w:t xml:space="preserve">SDG Target 12.3. This </w:t>
      </w:r>
      <w:r w:rsidR="00766B4E">
        <w:t>elaboration</w:t>
      </w:r>
      <w:r w:rsidR="000347BD" w:rsidRPr="000347BD">
        <w:t xml:space="preserve"> can guide </w:t>
      </w:r>
      <w:r w:rsidR="004442B8">
        <w:t>governments (e.g., country, provincial, city)</w:t>
      </w:r>
      <w:r w:rsidR="0020600B">
        <w:t xml:space="preserve">, </w:t>
      </w:r>
      <w:r w:rsidR="000347BD" w:rsidRPr="000347BD">
        <w:t>companies</w:t>
      </w:r>
      <w:r w:rsidR="0020600B">
        <w:t>, and citizens</w:t>
      </w:r>
      <w:r w:rsidR="000347BD" w:rsidRPr="000347BD">
        <w:t xml:space="preserve"> as they set explicit food loss and waste reduction targets, measure progress, and take on-the-ground action.</w:t>
      </w:r>
    </w:p>
    <w:p w14:paraId="3A79CC86" w14:textId="78800C82" w:rsidR="00242238" w:rsidRDefault="001A3588" w:rsidP="00D62D17">
      <w:pPr>
        <w:pStyle w:val="ListParagraph"/>
        <w:numPr>
          <w:ilvl w:val="0"/>
          <w:numId w:val="5"/>
        </w:numPr>
        <w:spacing w:after="120" w:line="240" w:lineRule="auto"/>
        <w:contextualSpacing w:val="0"/>
        <w:jc w:val="both"/>
      </w:pPr>
      <w:r w:rsidRPr="003E62E5">
        <w:rPr>
          <w:b/>
          <w:i/>
        </w:rPr>
        <w:t>What s</w:t>
      </w:r>
      <w:r w:rsidR="00817812" w:rsidRPr="003E62E5">
        <w:rPr>
          <w:b/>
          <w:i/>
        </w:rPr>
        <w:t xml:space="preserve">ectors </w:t>
      </w:r>
      <w:r w:rsidR="00413356" w:rsidRPr="003E62E5">
        <w:rPr>
          <w:b/>
          <w:i/>
        </w:rPr>
        <w:t xml:space="preserve">are </w:t>
      </w:r>
      <w:r w:rsidR="006240D9">
        <w:rPr>
          <w:b/>
          <w:i/>
        </w:rPr>
        <w:t>covere</w:t>
      </w:r>
      <w:r w:rsidR="00817812" w:rsidRPr="003E62E5">
        <w:rPr>
          <w:b/>
          <w:i/>
        </w:rPr>
        <w:t>d</w:t>
      </w:r>
      <w:r w:rsidR="0022234D">
        <w:rPr>
          <w:b/>
          <w:i/>
        </w:rPr>
        <w:t>?</w:t>
      </w:r>
      <w:r>
        <w:t xml:space="preserve"> </w:t>
      </w:r>
      <w:r w:rsidR="00242238">
        <w:t xml:space="preserve">One should interpret </w:t>
      </w:r>
      <w:r w:rsidR="00452E7C">
        <w:t xml:space="preserve">Target 12.3 as covering the </w:t>
      </w:r>
      <w:r w:rsidR="00452E7C" w:rsidRPr="00452E7C">
        <w:rPr>
          <w:i/>
        </w:rPr>
        <w:t>entire</w:t>
      </w:r>
      <w:r w:rsidR="00452E7C">
        <w:t xml:space="preserve"> food supply chain, from the point that crops and livestock are ready for harvest or slaughter through to the point that they are ready to be ingested by people</w:t>
      </w:r>
      <w:r w:rsidR="00BE2329">
        <w:t xml:space="preserve"> (</w:t>
      </w:r>
      <w:r w:rsidR="00BE2329" w:rsidRPr="00BE2329">
        <w:rPr>
          <w:color w:val="000099"/>
        </w:rPr>
        <w:t>Figure 1</w:t>
      </w:r>
      <w:r w:rsidR="00BE2329">
        <w:t>)</w:t>
      </w:r>
      <w:r w:rsidR="00452E7C">
        <w:t xml:space="preserve">. </w:t>
      </w:r>
      <w:r w:rsidR="00B95FF9">
        <w:t xml:space="preserve">Entities should seek </w:t>
      </w:r>
      <w:r w:rsidR="00BE2329">
        <w:t xml:space="preserve">to reduce food loss and waste </w:t>
      </w:r>
      <w:r w:rsidR="00B95FF9">
        <w:t>within the boundaries they control, and seek to help drive reductions up and down the supply chains where they have influence.</w:t>
      </w:r>
    </w:p>
    <w:p w14:paraId="6DA812D5" w14:textId="4439494E" w:rsidR="00E57308" w:rsidRDefault="00C535E6" w:rsidP="00E57308">
      <w:pPr>
        <w:spacing w:after="120" w:line="240" w:lineRule="auto"/>
        <w:jc w:val="center"/>
      </w:pPr>
      <w:r>
        <w:rPr>
          <w:noProof/>
        </w:rPr>
        <w:drawing>
          <wp:inline distT="0" distB="0" distL="0" distR="0" wp14:anchorId="64BE14CB" wp14:editId="5A972AB6">
            <wp:extent cx="4733925" cy="1952625"/>
            <wp:effectExtent l="19050" t="19050" r="28575" b="285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0096" r="10257" b="45246"/>
                    <a:stretch/>
                  </pic:blipFill>
                  <pic:spPr bwMode="auto">
                    <a:xfrm>
                      <a:off x="0" y="0"/>
                      <a:ext cx="4733925" cy="1952625"/>
                    </a:xfrm>
                    <a:prstGeom prst="rect">
                      <a:avLst/>
                    </a:prstGeom>
                    <a:ln>
                      <a:solidFill>
                        <a:schemeClr val="accent1"/>
                      </a:solidFill>
                    </a:ln>
                    <a:extLst>
                      <a:ext uri="{53640926-AAD7-44D8-BBD7-CCE9431645EC}">
                        <a14:shadowObscured xmlns:a14="http://schemas.microsoft.com/office/drawing/2010/main"/>
                      </a:ext>
                    </a:extLst>
                  </pic:spPr>
                </pic:pic>
              </a:graphicData>
            </a:graphic>
          </wp:inline>
        </w:drawing>
      </w:r>
    </w:p>
    <w:p w14:paraId="63E773A2" w14:textId="79D9A300" w:rsidR="00817812" w:rsidRDefault="001A3588" w:rsidP="00D62D17">
      <w:pPr>
        <w:pStyle w:val="ListParagraph"/>
        <w:numPr>
          <w:ilvl w:val="0"/>
          <w:numId w:val="5"/>
        </w:numPr>
        <w:spacing w:after="120" w:line="240" w:lineRule="auto"/>
        <w:contextualSpacing w:val="0"/>
        <w:jc w:val="both"/>
      </w:pPr>
      <w:r w:rsidRPr="003E62E5">
        <w:rPr>
          <w:b/>
          <w:i/>
        </w:rPr>
        <w:t xml:space="preserve">What </w:t>
      </w:r>
      <w:r w:rsidR="0022234D">
        <w:rPr>
          <w:b/>
          <w:i/>
        </w:rPr>
        <w:t xml:space="preserve">is </w:t>
      </w:r>
      <w:r w:rsidR="00413356" w:rsidRPr="003E62E5">
        <w:rPr>
          <w:b/>
          <w:i/>
        </w:rPr>
        <w:t xml:space="preserve">the </w:t>
      </w:r>
      <w:r w:rsidRPr="003E62E5">
        <w:rPr>
          <w:b/>
          <w:i/>
        </w:rPr>
        <w:t>t</w:t>
      </w:r>
      <w:r w:rsidR="00817812" w:rsidRPr="003E62E5">
        <w:rPr>
          <w:b/>
          <w:i/>
        </w:rPr>
        <w:t xml:space="preserve">arget for </w:t>
      </w:r>
      <w:r w:rsidRPr="003E62E5">
        <w:rPr>
          <w:b/>
          <w:i/>
        </w:rPr>
        <w:t xml:space="preserve">food </w:t>
      </w:r>
      <w:r w:rsidR="00817812" w:rsidRPr="003E62E5">
        <w:rPr>
          <w:b/>
          <w:i/>
        </w:rPr>
        <w:t>losses</w:t>
      </w:r>
      <w:r w:rsidR="0022234D">
        <w:rPr>
          <w:b/>
          <w:i/>
        </w:rPr>
        <w:t>?</w:t>
      </w:r>
      <w:r>
        <w:t xml:space="preserve"> </w:t>
      </w:r>
      <w:r w:rsidR="00A30CC2">
        <w:t>If the world is to fully realize the economic, food security, and environmental benefits of reducing food loss and waste</w:t>
      </w:r>
      <w:r w:rsidR="00817812">
        <w:t>, o</w:t>
      </w:r>
      <w:r w:rsidR="00242238">
        <w:t xml:space="preserve">ne should </w:t>
      </w:r>
      <w:r w:rsidR="00242238" w:rsidRPr="00242238">
        <w:t>apply the “halve p</w:t>
      </w:r>
      <w:r w:rsidR="00817812">
        <w:t xml:space="preserve">er capita” </w:t>
      </w:r>
      <w:r w:rsidR="00A30CC2">
        <w:t>in practice to food losses,</w:t>
      </w:r>
      <w:r w:rsidR="0099349D">
        <w:t xml:space="preserve"> as well</w:t>
      </w:r>
      <w:r w:rsidR="00A30CC2">
        <w:t>, not just to food waste</w:t>
      </w:r>
      <w:r w:rsidR="00817812">
        <w:t xml:space="preserve">. Not having a quantitative target on the food loss portion risks reducing </w:t>
      </w:r>
      <w:r w:rsidR="0004321E">
        <w:t xml:space="preserve">both </w:t>
      </w:r>
      <w:r w:rsidR="00817812">
        <w:t>ambition and focus</w:t>
      </w:r>
      <w:r w:rsidR="00C625A1">
        <w:t xml:space="preserve"> on an</w:t>
      </w:r>
      <w:r w:rsidR="0040350C">
        <w:t xml:space="preserve"> issue (food losses) that is</w:t>
      </w:r>
      <w:r w:rsidR="00C625A1">
        <w:t xml:space="preserve"> important </w:t>
      </w:r>
      <w:r w:rsidR="0040350C">
        <w:t>for many regions of the world</w:t>
      </w:r>
      <w:r w:rsidR="00817812">
        <w:t xml:space="preserve">. </w:t>
      </w:r>
    </w:p>
    <w:p w14:paraId="414BEA3D" w14:textId="03F865FE" w:rsidR="007F2539" w:rsidRDefault="001A3588" w:rsidP="007F2539">
      <w:pPr>
        <w:pStyle w:val="ListParagraph"/>
        <w:numPr>
          <w:ilvl w:val="0"/>
          <w:numId w:val="5"/>
        </w:numPr>
        <w:spacing w:after="120" w:line="240" w:lineRule="auto"/>
        <w:contextualSpacing w:val="0"/>
        <w:jc w:val="both"/>
      </w:pPr>
      <w:r w:rsidRPr="003E62E5">
        <w:rPr>
          <w:b/>
          <w:i/>
        </w:rPr>
        <w:lastRenderedPageBreak/>
        <w:t>What material type</w:t>
      </w:r>
      <w:r w:rsidR="00413356" w:rsidRPr="003E62E5">
        <w:rPr>
          <w:b/>
          <w:i/>
        </w:rPr>
        <w:t>s</w:t>
      </w:r>
      <w:r w:rsidRPr="003E62E5">
        <w:rPr>
          <w:b/>
          <w:i/>
        </w:rPr>
        <w:t xml:space="preserve"> </w:t>
      </w:r>
      <w:r w:rsidR="007F2539">
        <w:rPr>
          <w:b/>
          <w:i/>
        </w:rPr>
        <w:t>count</w:t>
      </w:r>
      <w:r w:rsidR="0022234D">
        <w:rPr>
          <w:b/>
          <w:i/>
        </w:rPr>
        <w:t>?</w:t>
      </w:r>
      <w:r>
        <w:rPr>
          <w:b/>
        </w:rPr>
        <w:t xml:space="preserve"> </w:t>
      </w:r>
      <w:r w:rsidR="00817812">
        <w:t>One should interpret that “f</w:t>
      </w:r>
      <w:r w:rsidR="00817812" w:rsidRPr="00817812">
        <w:t>ood loss and waste” applies to both “food”</w:t>
      </w:r>
      <w:r w:rsidR="00817812">
        <w:t xml:space="preserve"> </w:t>
      </w:r>
      <w:r w:rsidR="006806A7">
        <w:t>that is intended for human consumption</w:t>
      </w:r>
      <w:r w:rsidR="006806A7">
        <w:rPr>
          <w:rStyle w:val="EndnoteReference"/>
        </w:rPr>
        <w:endnoteReference w:id="11"/>
      </w:r>
      <w:r w:rsidR="006806A7">
        <w:t xml:space="preserve"> </w:t>
      </w:r>
      <w:r w:rsidR="00817812">
        <w:t xml:space="preserve">and </w:t>
      </w:r>
      <w:r w:rsidR="0040350C">
        <w:t xml:space="preserve">its </w:t>
      </w:r>
      <w:r w:rsidR="00D62D17">
        <w:t>associated “inedible parts</w:t>
      </w:r>
      <w:r w:rsidR="00817812">
        <w:t>”</w:t>
      </w:r>
      <w:r w:rsidR="00D62D17">
        <w:t xml:space="preserve"> </w:t>
      </w:r>
      <w:r w:rsidR="0022234D">
        <w:t>which</w:t>
      </w:r>
      <w:r w:rsidR="008B6CA5">
        <w:t xml:space="preserve"> lea</w:t>
      </w:r>
      <w:r w:rsidR="0099349D">
        <w:t>ve th</w:t>
      </w:r>
      <w:r w:rsidR="0060262C">
        <w:t xml:space="preserve">e human food supply chain </w:t>
      </w:r>
      <w:r w:rsidR="0099349D">
        <w:t xml:space="preserve">because </w:t>
      </w:r>
      <w:r w:rsidR="00D62D17">
        <w:t xml:space="preserve">Target 12.3 comes under </w:t>
      </w:r>
      <w:r w:rsidR="0060262C">
        <w:t>SDG 12</w:t>
      </w:r>
      <w:r w:rsidR="00D62D17">
        <w:t xml:space="preserve"> </w:t>
      </w:r>
      <w:r w:rsidR="0060262C">
        <w:t>(</w:t>
      </w:r>
      <w:r w:rsidR="00D62D17" w:rsidRPr="003B2E8D">
        <w:t>“sustainable c</w:t>
      </w:r>
      <w:r w:rsidR="0060262C">
        <w:t>onsumptio</w:t>
      </w:r>
      <w:r w:rsidR="00AF7537">
        <w:t xml:space="preserve">n and production”) and not SDG </w:t>
      </w:r>
      <w:r w:rsidR="0060262C">
        <w:t xml:space="preserve">2 (“ending hunger”). </w:t>
      </w:r>
      <w:r w:rsidR="0022234D">
        <w:t>I</w:t>
      </w:r>
      <w:r w:rsidR="0060262C">
        <w:t xml:space="preserve">t is </w:t>
      </w:r>
      <w:r w:rsidR="0022234D">
        <w:t xml:space="preserve">thus </w:t>
      </w:r>
      <w:r w:rsidR="0099349D" w:rsidRPr="00445207">
        <w:t xml:space="preserve">about food security </w:t>
      </w:r>
      <w:r w:rsidR="0099349D" w:rsidRPr="00445207">
        <w:rPr>
          <w:i/>
        </w:rPr>
        <w:t>and</w:t>
      </w:r>
      <w:r w:rsidR="0099349D" w:rsidRPr="00445207">
        <w:t xml:space="preserve"> resource-use efficiency</w:t>
      </w:r>
      <w:r w:rsidR="0060262C">
        <w:t xml:space="preserve">, and </w:t>
      </w:r>
      <w:r w:rsidR="0099349D" w:rsidRPr="00445207">
        <w:t xml:space="preserve">not </w:t>
      </w:r>
      <w:r w:rsidR="00C13C4D">
        <w:t xml:space="preserve">just </w:t>
      </w:r>
      <w:r w:rsidR="0060262C">
        <w:t>about food security alone</w:t>
      </w:r>
      <w:r w:rsidR="0099349D">
        <w:t>.</w:t>
      </w:r>
      <w:r w:rsidR="0060262C">
        <w:t xml:space="preserve"> This recommendation </w:t>
      </w:r>
      <w:r w:rsidR="0022234D">
        <w:t>is consistent</w:t>
      </w:r>
      <w:r w:rsidR="0060262C">
        <w:t xml:space="preserve"> with </w:t>
      </w:r>
      <w:r w:rsidR="0022234D">
        <w:t xml:space="preserve">the </w:t>
      </w:r>
      <w:r w:rsidR="00BE7189" w:rsidRPr="003B2E8D">
        <w:t xml:space="preserve">draft </w:t>
      </w:r>
      <w:r w:rsidR="00D91370">
        <w:t xml:space="preserve">scope proposed </w:t>
      </w:r>
      <w:r w:rsidR="0060262C">
        <w:t xml:space="preserve">for country-level data </w:t>
      </w:r>
      <w:r w:rsidR="00BE7189" w:rsidRPr="003B2E8D">
        <w:t>being suggested by FAO and the European Commission.</w:t>
      </w:r>
    </w:p>
    <w:p w14:paraId="7974D10B" w14:textId="53B869D4" w:rsidR="00445428" w:rsidRDefault="007F2539" w:rsidP="0082735D">
      <w:pPr>
        <w:pStyle w:val="ListParagraph"/>
        <w:numPr>
          <w:ilvl w:val="0"/>
          <w:numId w:val="5"/>
        </w:numPr>
        <w:spacing w:after="120" w:line="240" w:lineRule="auto"/>
        <w:contextualSpacing w:val="0"/>
        <w:jc w:val="both"/>
      </w:pPr>
      <w:r w:rsidRPr="00721FEF">
        <w:rPr>
          <w:b/>
          <w:i/>
        </w:rPr>
        <w:t>What destinations count</w:t>
      </w:r>
      <w:r w:rsidR="0022234D">
        <w:rPr>
          <w:b/>
          <w:i/>
        </w:rPr>
        <w:t>?</w:t>
      </w:r>
      <w:r w:rsidRPr="00721FEF">
        <w:t xml:space="preserve"> O</w:t>
      </w:r>
      <w:r w:rsidR="00817812" w:rsidRPr="00721FEF">
        <w:t xml:space="preserve">ne should interpret that “loss and waste” covers </w:t>
      </w:r>
      <w:r w:rsidR="00394C64" w:rsidRPr="00721FEF">
        <w:t>eight of the</w:t>
      </w:r>
      <w:r w:rsidR="00817812" w:rsidRPr="00721FEF">
        <w:t xml:space="preserve"> possible destinations </w:t>
      </w:r>
      <w:r w:rsidR="008B6CA5" w:rsidRPr="00721FEF">
        <w:t>for food and associated inedible parts that le</w:t>
      </w:r>
      <w:r w:rsidR="00394C64" w:rsidRPr="00721FEF">
        <w:t>ave the human food supply chain</w:t>
      </w:r>
      <w:r w:rsidR="00B11165">
        <w:t xml:space="preserve"> (</w:t>
      </w:r>
      <w:r w:rsidR="00B11165">
        <w:rPr>
          <w:i/>
        </w:rPr>
        <w:t>s</w:t>
      </w:r>
      <w:r w:rsidR="00B11165" w:rsidRPr="00D91370">
        <w:rPr>
          <w:i/>
        </w:rPr>
        <w:t xml:space="preserve">ee the appendix for definitions of </w:t>
      </w:r>
      <w:r w:rsidR="00B11165">
        <w:rPr>
          <w:i/>
        </w:rPr>
        <w:t>possible</w:t>
      </w:r>
      <w:r w:rsidR="00B11165" w:rsidRPr="004D33A6">
        <w:rPr>
          <w:i/>
        </w:rPr>
        <w:t xml:space="preserve"> </w:t>
      </w:r>
      <w:r w:rsidR="00B11165">
        <w:rPr>
          <w:i/>
        </w:rPr>
        <w:t>destinations)</w:t>
      </w:r>
      <w:r w:rsidR="00394C64" w:rsidRPr="00721FEF">
        <w:t xml:space="preserve">. It excludes </w:t>
      </w:r>
      <w:r w:rsidR="00817812" w:rsidRPr="00721FEF">
        <w:t>animal feed and bio-based materials/biochemical processing</w:t>
      </w:r>
      <w:r w:rsidR="00912F76" w:rsidRPr="00721FEF">
        <w:t xml:space="preserve"> </w:t>
      </w:r>
      <w:r w:rsidR="007637B1" w:rsidRPr="00721FEF">
        <w:t xml:space="preserve">(where material is converted into industrial products) </w:t>
      </w:r>
      <w:r w:rsidR="00912F76" w:rsidRPr="00721FEF">
        <w:t>(</w:t>
      </w:r>
      <w:r w:rsidR="00BE2329" w:rsidRPr="00721FEF">
        <w:rPr>
          <w:color w:val="000099"/>
        </w:rPr>
        <w:t>Figure 2</w:t>
      </w:r>
      <w:r w:rsidR="00B11165" w:rsidRPr="00B11165">
        <w:t>)</w:t>
      </w:r>
      <w:r w:rsidR="00817812" w:rsidRPr="00721FEF">
        <w:t>.</w:t>
      </w:r>
      <w:r w:rsidR="00912F76" w:rsidRPr="00721FEF">
        <w:t xml:space="preserve"> </w:t>
      </w:r>
      <w:r w:rsidR="0060262C" w:rsidRPr="00721FEF">
        <w:t xml:space="preserve">This recommendation </w:t>
      </w:r>
      <w:r w:rsidR="00394C64" w:rsidRPr="00721FEF">
        <w:t xml:space="preserve">on defining “food loss and waste” </w:t>
      </w:r>
      <w:r w:rsidR="0022234D">
        <w:t>is consistent</w:t>
      </w:r>
      <w:r w:rsidR="0060262C" w:rsidRPr="00721FEF">
        <w:t xml:space="preserve"> with</w:t>
      </w:r>
      <w:r w:rsidR="00394C64" w:rsidRPr="00721FEF">
        <w:t xml:space="preserve"> the </w:t>
      </w:r>
      <w:r w:rsidR="0022234D">
        <w:t>approach</w:t>
      </w:r>
      <w:r w:rsidR="00394C64" w:rsidRPr="00721FEF">
        <w:t xml:space="preserve"> proposed by</w:t>
      </w:r>
      <w:r w:rsidR="0060262C" w:rsidRPr="00721FEF">
        <w:t xml:space="preserve"> </w:t>
      </w:r>
      <w:r w:rsidR="00BE7189" w:rsidRPr="00721FEF">
        <w:t>FAO and the European Commission</w:t>
      </w:r>
      <w:r w:rsidR="00394C64" w:rsidRPr="00721FEF">
        <w:t xml:space="preserve"> for country-level reporting</w:t>
      </w:r>
      <w:r w:rsidR="00BE7189" w:rsidRPr="00721FEF">
        <w:t xml:space="preserve">, except </w:t>
      </w:r>
      <w:r w:rsidR="00394C64" w:rsidRPr="00721FEF">
        <w:t>that these two organizations</w:t>
      </w:r>
      <w:r w:rsidR="00BE7189" w:rsidRPr="00721FEF">
        <w:t xml:space="preserve"> </w:t>
      </w:r>
      <w:r w:rsidR="00394C64" w:rsidRPr="00721FEF">
        <w:t xml:space="preserve">also </w:t>
      </w:r>
      <w:r w:rsidR="00BE7189" w:rsidRPr="00721FEF">
        <w:t>exclude “not harvested</w:t>
      </w:r>
      <w:r w:rsidR="00394C64" w:rsidRPr="00721FEF">
        <w:t>/plowed-in</w:t>
      </w:r>
      <w:r w:rsidR="0060262C" w:rsidRPr="00721FEF">
        <w:t>”</w:t>
      </w:r>
      <w:r w:rsidR="00394C64" w:rsidRPr="00721FEF">
        <w:t xml:space="preserve"> </w:t>
      </w:r>
      <w:r w:rsidR="0090741C" w:rsidRPr="00721FEF">
        <w:t>due to</w:t>
      </w:r>
      <w:r w:rsidR="00394C64" w:rsidRPr="00721FEF">
        <w:t xml:space="preserve"> data</w:t>
      </w:r>
      <w:r w:rsidR="0090741C" w:rsidRPr="00721FEF">
        <w:t xml:space="preserve"> availability</w:t>
      </w:r>
      <w:r w:rsidR="00394C64" w:rsidRPr="00721FEF">
        <w:t xml:space="preserve"> and regulatory </w:t>
      </w:r>
      <w:r w:rsidR="0090741C" w:rsidRPr="00721FEF">
        <w:t>constraints</w:t>
      </w:r>
      <w:r w:rsidR="00721FEF">
        <w:t>, respectively</w:t>
      </w:r>
      <w:r w:rsidR="00394C64" w:rsidRPr="00721FEF">
        <w:t xml:space="preserve">. </w:t>
      </w:r>
    </w:p>
    <w:p w14:paraId="1865FE94" w14:textId="4A7A8677" w:rsidR="00817812" w:rsidRPr="00721FEF" w:rsidRDefault="00D40F17" w:rsidP="00445428">
      <w:pPr>
        <w:pStyle w:val="ListParagraph"/>
        <w:spacing w:after="120" w:line="240" w:lineRule="auto"/>
        <w:contextualSpacing w:val="0"/>
        <w:jc w:val="both"/>
      </w:pPr>
      <w:r>
        <w:t>The</w:t>
      </w:r>
      <w:r w:rsidR="0090741C" w:rsidRPr="00721FEF">
        <w:t xml:space="preserve"> challenge in collecting data on crops that are ready for harvest but are ultimately not harvested</w:t>
      </w:r>
      <w:r>
        <w:t xml:space="preserve"> is real</w:t>
      </w:r>
      <w:r w:rsidR="00445428">
        <w:t xml:space="preserve">. </w:t>
      </w:r>
      <w:r>
        <w:t>H</w:t>
      </w:r>
      <w:r w:rsidR="00394C64" w:rsidRPr="00721FEF">
        <w:t>owever,</w:t>
      </w:r>
      <w:r>
        <w:t xml:space="preserve"> </w:t>
      </w:r>
      <w:r w:rsidR="00445428">
        <w:t>including</w:t>
      </w:r>
      <w:r>
        <w:t xml:space="preserve"> “not harvested/plowed-in” </w:t>
      </w:r>
      <w:r w:rsidR="00445428">
        <w:t xml:space="preserve">in the scope is important for inspiring </w:t>
      </w:r>
      <w:r w:rsidR="0022234D">
        <w:t>interest in</w:t>
      </w:r>
      <w:r>
        <w:t xml:space="preserve"> </w:t>
      </w:r>
      <w:r w:rsidR="0082735D">
        <w:t>collect</w:t>
      </w:r>
      <w:r w:rsidR="0022234D">
        <w:t>ing</w:t>
      </w:r>
      <w:r w:rsidR="0082735D">
        <w:t xml:space="preserve"> </w:t>
      </w:r>
      <w:r w:rsidR="00B11165">
        <w:t>this</w:t>
      </w:r>
      <w:r w:rsidR="0082735D">
        <w:t xml:space="preserve"> data</w:t>
      </w:r>
      <w:r w:rsidR="0022234D">
        <w:t>, as well as</w:t>
      </w:r>
      <w:r w:rsidR="0082735D">
        <w:t xml:space="preserve"> </w:t>
      </w:r>
      <w:r w:rsidR="00766B4E">
        <w:t xml:space="preserve">for </w:t>
      </w:r>
      <w:r w:rsidR="00445428">
        <w:t>inspiring innovations that</w:t>
      </w:r>
      <w:r w:rsidR="0082735D">
        <w:t xml:space="preserve"> </w:t>
      </w:r>
      <w:r w:rsidR="00445428">
        <w:t>reduce</w:t>
      </w:r>
      <w:r w:rsidR="0082735D">
        <w:t xml:space="preserve"> this type of food loss. If countries currently do not collect this data, then</w:t>
      </w:r>
      <w:r w:rsidR="0022234D">
        <w:t xml:space="preserve"> </w:t>
      </w:r>
      <w:r w:rsidR="0082735D">
        <w:t>there</w:t>
      </w:r>
      <w:r w:rsidR="0082735D" w:rsidRPr="0082735D">
        <w:t xml:space="preserve"> </w:t>
      </w:r>
      <w:r w:rsidR="0022234D">
        <w:t>may be</w:t>
      </w:r>
      <w:r w:rsidR="0082735D" w:rsidRPr="0082735D">
        <w:t xml:space="preserve"> a role for the private sector </w:t>
      </w:r>
      <w:r w:rsidR="0082735D">
        <w:t xml:space="preserve">when engaging suppliers on food loss and waste issues; </w:t>
      </w:r>
      <w:r w:rsidR="0022234D">
        <w:t xml:space="preserve">that is, </w:t>
      </w:r>
      <w:r w:rsidR="0082735D">
        <w:t xml:space="preserve">private sector data could complement government data. Moreover, </w:t>
      </w:r>
      <w:r w:rsidR="00556E11" w:rsidRPr="00721FEF">
        <w:t>not harvesting</w:t>
      </w:r>
      <w:r w:rsidR="00BE7189" w:rsidRPr="00721FEF">
        <w:t xml:space="preserve"> crops</w:t>
      </w:r>
      <w:r w:rsidR="00556E11" w:rsidRPr="00721FEF">
        <w:t xml:space="preserve"> </w:t>
      </w:r>
      <w:r w:rsidR="00394C64" w:rsidRPr="00721FEF">
        <w:t xml:space="preserve">that are otherwise ready for harvest </w:t>
      </w:r>
      <w:r w:rsidR="00556E11" w:rsidRPr="00721FEF">
        <w:t xml:space="preserve">is a waste of </w:t>
      </w:r>
      <w:r w:rsidR="0082735D">
        <w:t xml:space="preserve">numerous </w:t>
      </w:r>
      <w:r w:rsidR="00556E11" w:rsidRPr="00721FEF">
        <w:t>resources</w:t>
      </w:r>
      <w:r w:rsidR="00BA0B0B">
        <w:t>.</w:t>
      </w:r>
      <w:r w:rsidR="00556E11" w:rsidRPr="00721FEF">
        <w:t xml:space="preserve"> </w:t>
      </w:r>
      <w:r w:rsidR="00BA0B0B">
        <w:t>B</w:t>
      </w:r>
      <w:r w:rsidR="00556E11" w:rsidRPr="00721FEF">
        <w:t xml:space="preserve">est practice strategies </w:t>
      </w:r>
      <w:r w:rsidR="0082735D">
        <w:t xml:space="preserve">do </w:t>
      </w:r>
      <w:r w:rsidR="00556E11" w:rsidRPr="00721FEF">
        <w:t xml:space="preserve">exist </w:t>
      </w:r>
      <w:r w:rsidR="0060262C" w:rsidRPr="00721FEF">
        <w:t xml:space="preserve">for avoiding this destination </w:t>
      </w:r>
      <w:r w:rsidR="009E6241">
        <w:t>such as gleaning and</w:t>
      </w:r>
      <w:r w:rsidR="00556E11" w:rsidRPr="00721FEF">
        <w:t xml:space="preserve"> </w:t>
      </w:r>
      <w:r w:rsidR="009E6241">
        <w:t>better food demand forecasting</w:t>
      </w:r>
      <w:r w:rsidR="00721FEF" w:rsidRPr="00721FEF">
        <w:t>.</w:t>
      </w:r>
      <w:r w:rsidR="00556E11" w:rsidRPr="00721FEF">
        <w:t xml:space="preserve"> </w:t>
      </w:r>
    </w:p>
    <w:p w14:paraId="1BE43422" w14:textId="788CCD9E" w:rsidR="004442B8" w:rsidRDefault="004442B8" w:rsidP="00AE6F88">
      <w:pPr>
        <w:pStyle w:val="ListParagraph"/>
        <w:numPr>
          <w:ilvl w:val="0"/>
          <w:numId w:val="5"/>
        </w:numPr>
        <w:spacing w:after="0" w:line="240" w:lineRule="auto"/>
        <w:jc w:val="both"/>
      </w:pPr>
      <w:r>
        <w:rPr>
          <w:b/>
          <w:i/>
        </w:rPr>
        <w:t>What indicator</w:t>
      </w:r>
      <w:r w:rsidR="0022234D">
        <w:rPr>
          <w:b/>
          <w:i/>
        </w:rPr>
        <w:t xml:space="preserve"> should be used?</w:t>
      </w:r>
      <w:r>
        <w:t xml:space="preserve"> For monitoring of </w:t>
      </w:r>
      <w:r w:rsidRPr="00394C64">
        <w:rPr>
          <w:u w:val="single"/>
        </w:rPr>
        <w:t>country</w:t>
      </w:r>
      <w:r>
        <w:t xml:space="preserve"> progress toward</w:t>
      </w:r>
      <w:r w:rsidR="00C13A5A">
        <w:t xml:space="preserve"> SDG Target 12.3, the indicator ideally </w:t>
      </w:r>
      <w:r>
        <w:t>should be “</w:t>
      </w:r>
      <w:r w:rsidR="00394C64">
        <w:t xml:space="preserve">food loss and waste </w:t>
      </w:r>
      <w:r>
        <w:t xml:space="preserve">per capita” </w:t>
      </w:r>
      <w:r w:rsidR="00394C64">
        <w:t xml:space="preserve">(based on a country’s population), </w:t>
      </w:r>
      <w:r>
        <w:t>measured in k</w:t>
      </w:r>
      <w:r w:rsidR="00BA0B0B">
        <w:t>ilograms</w:t>
      </w:r>
      <w:r w:rsidR="00BE23A4">
        <w:t>/person/y</w:t>
      </w:r>
      <w:r w:rsidR="00BA0B0B">
        <w:t>ea</w:t>
      </w:r>
      <w:r w:rsidR="00BE23A4">
        <w:t xml:space="preserve">r. This would be substantiated by two </w:t>
      </w:r>
      <w:r>
        <w:t>sub</w:t>
      </w:r>
      <w:r w:rsidR="00766B4E">
        <w:t>-</w:t>
      </w:r>
      <w:r>
        <w:t>indicators</w:t>
      </w:r>
      <w:r w:rsidR="00BA0B0B">
        <w:t>,</w:t>
      </w:r>
      <w:r w:rsidR="00BE23A4">
        <w:t xml:space="preserve"> one focusing on losses</w:t>
      </w:r>
      <w:r w:rsidR="001C75BA">
        <w:t xml:space="preserve"> occurring</w:t>
      </w:r>
      <w:r w:rsidR="00BE23A4">
        <w:t xml:space="preserve"> from </w:t>
      </w:r>
      <w:r w:rsidR="00AE6F88">
        <w:t xml:space="preserve">the </w:t>
      </w:r>
      <w:r w:rsidR="00BE23A4">
        <w:t xml:space="preserve">farm </w:t>
      </w:r>
      <w:r w:rsidR="00AE6F88">
        <w:t xml:space="preserve">up </w:t>
      </w:r>
      <w:r w:rsidR="00BE23A4">
        <w:t xml:space="preserve">to </w:t>
      </w:r>
      <w:r w:rsidR="00AE6F88">
        <w:t xml:space="preserve">(but excluding) the </w:t>
      </w:r>
      <w:r w:rsidR="00BE23A4">
        <w:t>retail</w:t>
      </w:r>
      <w:r w:rsidR="00AE6F88">
        <w:t xml:space="preserve"> stage of the food value chain</w:t>
      </w:r>
      <w:r w:rsidR="00BE23A4">
        <w:t xml:space="preserve"> (</w:t>
      </w:r>
      <w:r w:rsidR="00245B94">
        <w:t>the existing “</w:t>
      </w:r>
      <w:r w:rsidR="00BE23A4">
        <w:t>Food Loss Index</w:t>
      </w:r>
      <w:r w:rsidR="00245B94">
        <w:t>”</w:t>
      </w:r>
      <w:r w:rsidR="00BE23A4">
        <w:t>)</w:t>
      </w:r>
      <w:r w:rsidR="00A30CC2">
        <w:t>,</w:t>
      </w:r>
      <w:r w:rsidR="00BE23A4">
        <w:t xml:space="preserve"> and the other focusing on waste from retail to </w:t>
      </w:r>
      <w:r w:rsidR="00AE6F88">
        <w:t xml:space="preserve">the </w:t>
      </w:r>
      <w:r w:rsidR="00BE23A4">
        <w:t>point of consumption (</w:t>
      </w:r>
      <w:r w:rsidR="00245B94">
        <w:t>a to-be-developed “</w:t>
      </w:r>
      <w:r w:rsidR="00BE23A4">
        <w:t>Food Waste Index</w:t>
      </w:r>
      <w:r w:rsidR="00245B94">
        <w:t>”</w:t>
      </w:r>
      <w:r w:rsidR="00BE23A4">
        <w:t>). This solution ensures full coverage of the food loss and waste issue</w:t>
      </w:r>
      <w:r w:rsidR="00245B94">
        <w:t xml:space="preserve"> and existing language of SDG Target 12.3,</w:t>
      </w:r>
      <w:r w:rsidR="00BE23A4">
        <w:t xml:space="preserve"> yet </w:t>
      </w:r>
      <w:r w:rsidR="00BE23A4" w:rsidRPr="00BE23A4">
        <w:t>minimize</w:t>
      </w:r>
      <w:r w:rsidR="00BE23A4">
        <w:t>s</w:t>
      </w:r>
      <w:r w:rsidR="00BE23A4" w:rsidRPr="00BE23A4">
        <w:t xml:space="preserve"> </w:t>
      </w:r>
      <w:r w:rsidR="00AE6F88">
        <w:t xml:space="preserve">the </w:t>
      </w:r>
      <w:r w:rsidR="00BE23A4" w:rsidRPr="00BE23A4">
        <w:t>reporting burden</w:t>
      </w:r>
      <w:r w:rsidR="00BE23A4">
        <w:t>.</w:t>
      </w:r>
      <w:r w:rsidR="00AE6F88" w:rsidRPr="00AE6F88">
        <w:t xml:space="preserve"> </w:t>
      </w:r>
      <w:r w:rsidR="00766B4E">
        <w:t>FAO has been chosen to serve as custodian for the indicator.</w:t>
      </w:r>
    </w:p>
    <w:p w14:paraId="1CB0B0F4" w14:textId="77777777" w:rsidR="004442B8" w:rsidRDefault="004442B8" w:rsidP="00BE23A4">
      <w:pPr>
        <w:spacing w:after="0" w:line="240" w:lineRule="auto"/>
        <w:ind w:left="360"/>
        <w:jc w:val="both"/>
      </w:pPr>
    </w:p>
    <w:p w14:paraId="418147BF" w14:textId="77777777" w:rsidR="00912F76" w:rsidRDefault="000332A2" w:rsidP="00666D83">
      <w:pPr>
        <w:tabs>
          <w:tab w:val="left" w:pos="5400"/>
        </w:tabs>
        <w:spacing w:after="0" w:line="240" w:lineRule="auto"/>
        <w:jc w:val="center"/>
      </w:pPr>
      <w:r>
        <w:rPr>
          <w:noProof/>
        </w:rPr>
        <w:lastRenderedPageBreak/>
        <w:drawing>
          <wp:inline distT="0" distB="0" distL="0" distR="0" wp14:anchorId="75EA8B21" wp14:editId="41E8595D">
            <wp:extent cx="4733925" cy="3566160"/>
            <wp:effectExtent l="19050" t="19050" r="28575" b="152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0096" r="10257"/>
                    <a:stretch/>
                  </pic:blipFill>
                  <pic:spPr bwMode="auto">
                    <a:xfrm>
                      <a:off x="0" y="0"/>
                      <a:ext cx="4733925" cy="3566160"/>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17AA52B1" w14:textId="77777777" w:rsidR="00912F76" w:rsidRDefault="00912F76" w:rsidP="00087D4C">
      <w:pPr>
        <w:spacing w:after="0" w:line="240" w:lineRule="auto"/>
      </w:pPr>
    </w:p>
    <w:p w14:paraId="7C32FDC7" w14:textId="19796EBE" w:rsidR="0034561D" w:rsidRDefault="00DD5778" w:rsidP="0060262C">
      <w:pPr>
        <w:spacing w:after="120" w:line="240" w:lineRule="auto"/>
        <w:jc w:val="both"/>
      </w:pPr>
      <w:r>
        <w:t xml:space="preserve">This </w:t>
      </w:r>
      <w:r w:rsidRPr="0034561D">
        <w:t xml:space="preserve">interpretation </w:t>
      </w:r>
      <w:r w:rsidR="00BA0B0B">
        <w:t>means</w:t>
      </w:r>
      <w:r w:rsidR="0040350C" w:rsidRPr="0034561D">
        <w:t xml:space="preserve"> that SDG Target 12.3 </w:t>
      </w:r>
      <w:r w:rsidR="00BA0B0B">
        <w:t>is challenging</w:t>
      </w:r>
      <w:r w:rsidR="0040350C" w:rsidRPr="0034561D">
        <w:t xml:space="preserve"> the world to cut in half the amount of food and associated inedible parts per</w:t>
      </w:r>
      <w:r w:rsidR="0040350C">
        <w:t xml:space="preserve"> capita </w:t>
      </w:r>
      <w:r w:rsidR="0040350C" w:rsidRPr="00DD5778">
        <w:t xml:space="preserve">that </w:t>
      </w:r>
      <w:r w:rsidR="0040350C">
        <w:t xml:space="preserve">is not eaten and </w:t>
      </w:r>
      <w:r w:rsidR="0040350C" w:rsidRPr="00DD5778">
        <w:t>end</w:t>
      </w:r>
      <w:r w:rsidR="0040350C">
        <w:t>s</w:t>
      </w:r>
      <w:r w:rsidR="0040350C" w:rsidRPr="00DD5778">
        <w:t xml:space="preserve"> up in destinations </w:t>
      </w:r>
      <w:r w:rsidR="0040350C">
        <w:t>other than</w:t>
      </w:r>
      <w:r w:rsidR="0040350C" w:rsidRPr="00DD5778">
        <w:t xml:space="preserve"> animal feed or bio-based materials/biochemical processing</w:t>
      </w:r>
      <w:r w:rsidR="0040350C">
        <w:t xml:space="preserve">. This </w:t>
      </w:r>
      <w:r w:rsidR="00AA21E1">
        <w:t>means that</w:t>
      </w:r>
      <w:r w:rsidR="00445207">
        <w:t>:</w:t>
      </w:r>
    </w:p>
    <w:p w14:paraId="4B3EC54F" w14:textId="77777777" w:rsidR="00DD5778" w:rsidRDefault="00B374D2" w:rsidP="00030CDF">
      <w:pPr>
        <w:pStyle w:val="ListParagraph"/>
        <w:numPr>
          <w:ilvl w:val="0"/>
          <w:numId w:val="2"/>
        </w:numPr>
        <w:spacing w:after="120" w:line="240" w:lineRule="auto"/>
        <w:contextualSpacing w:val="0"/>
        <w:jc w:val="both"/>
      </w:pPr>
      <w:r>
        <w:t xml:space="preserve">Achieving the target </w:t>
      </w:r>
      <w:r w:rsidR="00D47C84">
        <w:t>involves</w:t>
      </w:r>
      <w:r w:rsidR="00DD5778">
        <w:t xml:space="preserve"> p</w:t>
      </w:r>
      <w:r w:rsidR="00DD5778" w:rsidRPr="00DD5778">
        <w:t xml:space="preserve">reventing food </w:t>
      </w:r>
      <w:r w:rsidR="00DD5778">
        <w:t xml:space="preserve">and </w:t>
      </w:r>
      <w:r w:rsidR="00D47C84">
        <w:t xml:space="preserve">associated </w:t>
      </w:r>
      <w:r w:rsidR="00DD5778">
        <w:t xml:space="preserve">inedible parts </w:t>
      </w:r>
      <w:r w:rsidR="00DD5778" w:rsidRPr="00DD5778">
        <w:t>from leaving the human food supply ch</w:t>
      </w:r>
      <w:r w:rsidR="00DD5778">
        <w:t>ain in the first place (</w:t>
      </w:r>
      <w:r w:rsidR="008B6CA5">
        <w:t>e.g., avoiding excess food production, ensuring food makes it to market, donating or</w:t>
      </w:r>
      <w:r w:rsidR="00AA21E1">
        <w:t xml:space="preserve"> </w:t>
      </w:r>
      <w:r w:rsidR="008B6CA5">
        <w:t xml:space="preserve">redistributing </w:t>
      </w:r>
      <w:r w:rsidR="00DD5778">
        <w:t>unsold food</w:t>
      </w:r>
      <w:r w:rsidR="008B6CA5">
        <w:t xml:space="preserve"> to those in need, converting </w:t>
      </w:r>
      <w:r w:rsidR="00AA21E1">
        <w:t>inedible parts into food</w:t>
      </w:r>
      <w:r w:rsidR="00DD5778">
        <w:t>) and</w:t>
      </w:r>
      <w:r w:rsidR="00D47C84">
        <w:t>/or</w:t>
      </w:r>
      <w:r w:rsidR="00DD5778">
        <w:t xml:space="preserve"> by s</w:t>
      </w:r>
      <w:r w:rsidR="00DD5778" w:rsidRPr="00DD5778">
        <w:t xml:space="preserve">hifting </w:t>
      </w:r>
      <w:r w:rsidR="00445207">
        <w:t xml:space="preserve">that which does leave the human food supply chain </w:t>
      </w:r>
      <w:r w:rsidR="00D47C84">
        <w:t xml:space="preserve">away </w:t>
      </w:r>
      <w:r w:rsidR="00DD5778" w:rsidRPr="00DD5778">
        <w:t xml:space="preserve">from less </w:t>
      </w:r>
      <w:r w:rsidR="00AA21E1">
        <w:t>value-added</w:t>
      </w:r>
      <w:r w:rsidR="00445207">
        <w:t xml:space="preserve"> destinations </w:t>
      </w:r>
      <w:r w:rsidR="00D47C84">
        <w:t xml:space="preserve">and </w:t>
      </w:r>
      <w:r w:rsidR="0060262C">
        <w:t xml:space="preserve">instead </w:t>
      </w:r>
      <w:r w:rsidR="00445207">
        <w:t xml:space="preserve">toward animal feed or </w:t>
      </w:r>
      <w:r w:rsidR="00DD5778" w:rsidRPr="00DD5778">
        <w:t>bio-based ma</w:t>
      </w:r>
      <w:r w:rsidR="00DD5778">
        <w:t>terials/biochemical processing.</w:t>
      </w:r>
    </w:p>
    <w:p w14:paraId="42245804" w14:textId="02CCF308" w:rsidR="00B374D2" w:rsidRPr="00F20B38" w:rsidRDefault="00B374D2" w:rsidP="003739DD">
      <w:pPr>
        <w:pStyle w:val="ListParagraph"/>
        <w:numPr>
          <w:ilvl w:val="0"/>
          <w:numId w:val="2"/>
        </w:numPr>
        <w:spacing w:after="120" w:line="240" w:lineRule="auto"/>
        <w:contextualSpacing w:val="0"/>
        <w:jc w:val="both"/>
      </w:pPr>
      <w:r w:rsidRPr="00F20B38">
        <w:t xml:space="preserve">The 50 percent reduction target applies to both food and associated inedible parts. </w:t>
      </w:r>
      <w:r w:rsidR="0034561D" w:rsidRPr="00F20B38">
        <w:t>However,</w:t>
      </w:r>
      <w:r w:rsidRPr="00F20B38">
        <w:t xml:space="preserve"> if entities are able to measure</w:t>
      </w:r>
      <w:r w:rsidR="00D47C84" w:rsidRPr="00F20B38">
        <w:t xml:space="preserve"> and report on</w:t>
      </w:r>
      <w:r w:rsidRPr="00F20B38">
        <w:t xml:space="preserve"> food </w:t>
      </w:r>
      <w:r w:rsidR="0071202D" w:rsidRPr="00F20B38">
        <w:t>and</w:t>
      </w:r>
      <w:r w:rsidRPr="00F20B38">
        <w:t xml:space="preserve"> associated inedible parts</w:t>
      </w:r>
      <w:r w:rsidR="0071202D" w:rsidRPr="00F20B38">
        <w:t xml:space="preserve"> separately</w:t>
      </w:r>
      <w:r w:rsidRPr="00F20B38">
        <w:t xml:space="preserve">, then </w:t>
      </w:r>
      <w:r w:rsidR="0034561D" w:rsidRPr="00F20B38">
        <w:t>they</w:t>
      </w:r>
      <w:r w:rsidRPr="00F20B38">
        <w:t xml:space="preserve"> </w:t>
      </w:r>
      <w:r w:rsidR="00B63BDA">
        <w:t>should be able to</w:t>
      </w:r>
      <w:r w:rsidRPr="00F20B38">
        <w:t xml:space="preserve"> apply the 50 percent reduction target only </w:t>
      </w:r>
      <w:r w:rsidR="00863133" w:rsidRPr="00F20B38">
        <w:t>to</w:t>
      </w:r>
      <w:r w:rsidRPr="00F20B38">
        <w:t xml:space="preserve"> the food portion</w:t>
      </w:r>
      <w:r w:rsidR="00B459DB">
        <w:t xml:space="preserve">—although they </w:t>
      </w:r>
      <w:r w:rsidR="00F20B38" w:rsidRPr="00F20B38">
        <w:t xml:space="preserve">should still take </w:t>
      </w:r>
      <w:r w:rsidR="00F65DDF">
        <w:t>steps</w:t>
      </w:r>
      <w:r w:rsidR="00F20B38" w:rsidRPr="00F20B38">
        <w:t xml:space="preserve"> to reduce </w:t>
      </w:r>
      <w:r w:rsidR="00F65DDF">
        <w:t xml:space="preserve">the amount of </w:t>
      </w:r>
      <w:r w:rsidR="00F20B38" w:rsidRPr="00F20B38">
        <w:t>inedible parts as much as possible</w:t>
      </w:r>
      <w:r w:rsidRPr="00F20B38">
        <w:t xml:space="preserve">. </w:t>
      </w:r>
      <w:r w:rsidR="0071202D" w:rsidRPr="00F20B38">
        <w:t xml:space="preserve">This </w:t>
      </w:r>
      <w:r w:rsidR="00D47C84" w:rsidRPr="00F20B38">
        <w:t xml:space="preserve">flexibility </w:t>
      </w:r>
      <w:r w:rsidR="00863133" w:rsidRPr="00F20B38">
        <w:t>recognizes that</w:t>
      </w:r>
      <w:r w:rsidR="0071202D" w:rsidRPr="00F20B38">
        <w:t xml:space="preserve"> </w:t>
      </w:r>
      <w:r w:rsidR="00D47C84" w:rsidRPr="00F20B38">
        <w:t xml:space="preserve">for some entities </w:t>
      </w:r>
      <w:r w:rsidR="0034561D" w:rsidRPr="00F20B38">
        <w:t xml:space="preserve">a significant share of food loss and waste </w:t>
      </w:r>
      <w:r w:rsidR="0071202D" w:rsidRPr="00F20B38">
        <w:t>may be</w:t>
      </w:r>
      <w:r w:rsidR="0034561D" w:rsidRPr="00F20B38">
        <w:t xml:space="preserve"> associated inedible par</w:t>
      </w:r>
      <w:r w:rsidR="00D47C84" w:rsidRPr="00F20B38">
        <w:t>ts. Y</w:t>
      </w:r>
      <w:r w:rsidR="0034561D" w:rsidRPr="00F20B38">
        <w:t xml:space="preserve">et halving </w:t>
      </w:r>
      <w:r w:rsidR="0071202D" w:rsidRPr="00F20B38">
        <w:t xml:space="preserve">the amount of </w:t>
      </w:r>
      <w:r w:rsidR="0034561D" w:rsidRPr="00F20B38">
        <w:t xml:space="preserve">inedible parts can be more difficult to achieve </w:t>
      </w:r>
      <w:r w:rsidR="00D47C84" w:rsidRPr="00F20B38">
        <w:t>than halving the amount of food</w:t>
      </w:r>
      <w:r w:rsidR="00BA0B0B">
        <w:t>,</w:t>
      </w:r>
      <w:r w:rsidR="00D47C84" w:rsidRPr="00F20B38">
        <w:t xml:space="preserve"> </w:t>
      </w:r>
      <w:r w:rsidR="0034561D" w:rsidRPr="00F20B38">
        <w:t xml:space="preserve">since there </w:t>
      </w:r>
      <w:r w:rsidR="00D47C84" w:rsidRPr="00F20B38">
        <w:t>can be</w:t>
      </w:r>
      <w:r w:rsidR="0034561D" w:rsidRPr="00F20B38">
        <w:t xml:space="preserve"> </w:t>
      </w:r>
      <w:r w:rsidR="00D47C84" w:rsidRPr="00F20B38">
        <w:t xml:space="preserve">physical, cultural, or regulatory </w:t>
      </w:r>
      <w:r w:rsidR="0034561D" w:rsidRPr="00F20B38">
        <w:t xml:space="preserve">limitations on inedible parts </w:t>
      </w:r>
      <w:r w:rsidR="00D47C84" w:rsidRPr="00F20B38">
        <w:t>being</w:t>
      </w:r>
      <w:r w:rsidR="0034561D" w:rsidRPr="00F20B38">
        <w:t xml:space="preserve"> </w:t>
      </w:r>
      <w:r w:rsidR="005E6468" w:rsidRPr="00F20B38">
        <w:t xml:space="preserve">converted into food, </w:t>
      </w:r>
      <w:r w:rsidR="0034561D" w:rsidRPr="00F20B38">
        <w:t>diverted to animal feed</w:t>
      </w:r>
      <w:r w:rsidR="005E6468" w:rsidRPr="00F20B38">
        <w:t>, and/or diverted</w:t>
      </w:r>
      <w:r w:rsidR="0034561D" w:rsidRPr="00F20B38">
        <w:t xml:space="preserve"> </w:t>
      </w:r>
      <w:r w:rsidR="005E6468" w:rsidRPr="00F20B38">
        <w:t>to</w:t>
      </w:r>
      <w:r w:rsidR="0034561D" w:rsidRPr="00F20B38">
        <w:t xml:space="preserve"> bio-based materials/</w:t>
      </w:r>
      <w:r w:rsidR="005E6468" w:rsidRPr="00F20B38">
        <w:t xml:space="preserve"> </w:t>
      </w:r>
      <w:r w:rsidR="0034561D" w:rsidRPr="00F20B38">
        <w:t xml:space="preserve">biochemical processing. This </w:t>
      </w:r>
      <w:r w:rsidR="00D47C84" w:rsidRPr="00F20B38">
        <w:t>flexibility</w:t>
      </w:r>
      <w:r w:rsidR="0034561D" w:rsidRPr="00F20B38">
        <w:t xml:space="preserve"> </w:t>
      </w:r>
      <w:r w:rsidR="0071202D" w:rsidRPr="00F20B38">
        <w:t>creates</w:t>
      </w:r>
      <w:r w:rsidR="0034561D" w:rsidRPr="00F20B38">
        <w:t xml:space="preserve"> an </w:t>
      </w:r>
      <w:r w:rsidR="00FF1F6C" w:rsidRPr="00F20B38">
        <w:t xml:space="preserve">incentive </w:t>
      </w:r>
      <w:r w:rsidR="0034561D" w:rsidRPr="00F20B38">
        <w:t xml:space="preserve">for entities to </w:t>
      </w:r>
      <w:r w:rsidR="0071202D" w:rsidRPr="00F20B38">
        <w:t>quantify</w:t>
      </w:r>
      <w:r w:rsidR="0034561D" w:rsidRPr="00F20B38">
        <w:t xml:space="preserve"> food </w:t>
      </w:r>
      <w:r w:rsidR="0071202D" w:rsidRPr="00F20B38">
        <w:t>and</w:t>
      </w:r>
      <w:r w:rsidR="0034561D" w:rsidRPr="00F20B38">
        <w:t xml:space="preserve"> associated inedible parts</w:t>
      </w:r>
      <w:r w:rsidR="0071202D" w:rsidRPr="00F20B38">
        <w:t xml:space="preserve"> separately</w:t>
      </w:r>
      <w:r w:rsidR="0034561D" w:rsidRPr="00F20B38">
        <w:t>.</w:t>
      </w:r>
      <w:r w:rsidR="00FF1F6C" w:rsidRPr="00F20B38">
        <w:t xml:space="preserve"> </w:t>
      </w:r>
    </w:p>
    <w:p w14:paraId="07517603" w14:textId="34822790" w:rsidR="00AE6390" w:rsidRDefault="00AA21E1" w:rsidP="00030CDF">
      <w:pPr>
        <w:pStyle w:val="ListParagraph"/>
        <w:numPr>
          <w:ilvl w:val="0"/>
          <w:numId w:val="2"/>
        </w:numPr>
        <w:spacing w:after="0" w:line="240" w:lineRule="auto"/>
        <w:jc w:val="both"/>
      </w:pPr>
      <w:r w:rsidRPr="00861456">
        <w:t xml:space="preserve">When </w:t>
      </w:r>
      <w:r w:rsidR="0060262C">
        <w:t>accounting for and reporting</w:t>
      </w:r>
      <w:r w:rsidRPr="00861456">
        <w:t xml:space="preserve"> a food loss and waste inventory</w:t>
      </w:r>
      <w:r w:rsidR="00A02674">
        <w:t xml:space="preserve"> to meet Target 12.3</w:t>
      </w:r>
      <w:r w:rsidRPr="00861456">
        <w:t xml:space="preserve">, entities should select </w:t>
      </w:r>
      <w:r w:rsidR="00861456" w:rsidRPr="00861456">
        <w:t xml:space="preserve">a scope consistent with the material types and destinations outlined in </w:t>
      </w:r>
      <w:r w:rsidR="00BE2329">
        <w:rPr>
          <w:color w:val="000099"/>
        </w:rPr>
        <w:t>Figure 2</w:t>
      </w:r>
      <w:r w:rsidR="00C12983">
        <w:t>. The</w:t>
      </w:r>
      <w:r w:rsidR="0060262C">
        <w:t xml:space="preserve"> </w:t>
      </w:r>
      <w:hyperlink r:id="rId10" w:history="1">
        <w:r w:rsidR="00C12983" w:rsidRPr="009557A2">
          <w:rPr>
            <w:rStyle w:val="Hyperlink"/>
          </w:rPr>
          <w:t>Food Loss and Waste Accounting and Reporting Standard</w:t>
        </w:r>
      </w:hyperlink>
      <w:r w:rsidR="00C12983">
        <w:t xml:space="preserve"> can help </w:t>
      </w:r>
      <w:r w:rsidR="0060262C">
        <w:t>companies, countries, cities, and others</w:t>
      </w:r>
      <w:r w:rsidR="00C12983">
        <w:t xml:space="preserve"> by providing </w:t>
      </w:r>
      <w:r w:rsidR="00282F23">
        <w:t xml:space="preserve">common </w:t>
      </w:r>
      <w:r w:rsidR="00971108">
        <w:t xml:space="preserve">definitions and </w:t>
      </w:r>
      <w:r w:rsidR="00282F23">
        <w:t xml:space="preserve">language to describe </w:t>
      </w:r>
      <w:r w:rsidR="00C12983">
        <w:t>the scope, a</w:t>
      </w:r>
      <w:r w:rsidR="00BA0B0B">
        <w:t>s well as</w:t>
      </w:r>
      <w:r w:rsidR="00C12983">
        <w:t xml:space="preserve"> </w:t>
      </w:r>
      <w:r w:rsidR="00282F23">
        <w:t xml:space="preserve">guidance on </w:t>
      </w:r>
      <w:r w:rsidR="00971108">
        <w:t>available</w:t>
      </w:r>
      <w:r w:rsidR="00C12983">
        <w:t xml:space="preserve"> quantification methods.</w:t>
      </w:r>
      <w:r w:rsidR="00861456">
        <w:rPr>
          <w:rStyle w:val="EndnoteReference"/>
        </w:rPr>
        <w:endnoteReference w:id="12"/>
      </w:r>
      <w:r w:rsidR="00C12983">
        <w:t xml:space="preserve"> </w:t>
      </w:r>
      <w:r w:rsidR="00C12983" w:rsidRPr="00A02674">
        <w:t xml:space="preserve">Of course, entities may elect to expand the scope </w:t>
      </w:r>
      <w:r w:rsidR="00C12983" w:rsidRPr="00A02674">
        <w:lastRenderedPageBreak/>
        <w:t xml:space="preserve">(to cover more destinations) if </w:t>
      </w:r>
      <w:r w:rsidR="00971108">
        <w:t>doing so</w:t>
      </w:r>
      <w:r w:rsidR="00C12983" w:rsidRPr="00A02674">
        <w:t xml:space="preserve"> helps them mee</w:t>
      </w:r>
      <w:r w:rsidR="007F2539" w:rsidRPr="00A02674">
        <w:t>t other goals beyond S</w:t>
      </w:r>
      <w:r w:rsidR="00A02674" w:rsidRPr="00A02674">
        <w:t>DG Target 12.3</w:t>
      </w:r>
      <w:r w:rsidR="00971108">
        <w:t xml:space="preserve"> (e.g., an </w:t>
      </w:r>
      <w:r w:rsidR="00971108" w:rsidRPr="0028004B">
        <w:t>industry association voluntary target)</w:t>
      </w:r>
      <w:r w:rsidR="00A02674" w:rsidRPr="0028004B">
        <w:t xml:space="preserve">. </w:t>
      </w:r>
      <w:r w:rsidR="00971108" w:rsidRPr="0028004B">
        <w:t>An efficient approach is to</w:t>
      </w:r>
      <w:r w:rsidR="00A02674" w:rsidRPr="0028004B">
        <w:t xml:space="preserve"> </w:t>
      </w:r>
      <w:r w:rsidR="00971108" w:rsidRPr="0028004B">
        <w:t xml:space="preserve">quantify data and </w:t>
      </w:r>
      <w:r w:rsidR="00A02674" w:rsidRPr="0028004B">
        <w:t>r</w:t>
      </w:r>
      <w:r w:rsidR="00971108" w:rsidRPr="0028004B">
        <w:t>ecord</w:t>
      </w:r>
      <w:r w:rsidR="00C12983" w:rsidRPr="0028004B">
        <w:t xml:space="preserve"> results separately </w:t>
      </w:r>
      <w:r w:rsidR="00DE6364" w:rsidRPr="0028004B">
        <w:t>per destination</w:t>
      </w:r>
      <w:r w:rsidR="00721A85" w:rsidRPr="0028004B">
        <w:t xml:space="preserve"> for all destinations</w:t>
      </w:r>
      <w:r w:rsidR="00971108" w:rsidRPr="0028004B">
        <w:t xml:space="preserve"> in </w:t>
      </w:r>
      <w:r w:rsidR="00971108" w:rsidRPr="0028004B">
        <w:rPr>
          <w:color w:val="000099"/>
        </w:rPr>
        <w:t>Figure 2</w:t>
      </w:r>
      <w:r w:rsidR="00971108" w:rsidRPr="0028004B">
        <w:t xml:space="preserve">. Doing so empowers an </w:t>
      </w:r>
      <w:r w:rsidR="00A02674" w:rsidRPr="0028004B">
        <w:t xml:space="preserve">entity </w:t>
      </w:r>
      <w:r w:rsidR="00971108" w:rsidRPr="0028004B">
        <w:t>to</w:t>
      </w:r>
      <w:r w:rsidR="003501B1" w:rsidRPr="0028004B">
        <w:t xml:space="preserve"> gain</w:t>
      </w:r>
      <w:r w:rsidR="00A02674" w:rsidRPr="0028004B">
        <w:t xml:space="preserve"> insight</w:t>
      </w:r>
      <w:r w:rsidR="003501B1" w:rsidRPr="0028004B">
        <w:t>s</w:t>
      </w:r>
      <w:r w:rsidR="00A02674" w:rsidRPr="0028004B">
        <w:t xml:space="preserve"> on </w:t>
      </w:r>
      <w:r w:rsidR="003501B1" w:rsidRPr="0028004B">
        <w:t xml:space="preserve">all </w:t>
      </w:r>
      <w:r w:rsidR="00971108" w:rsidRPr="0028004B">
        <w:t xml:space="preserve">its food-related </w:t>
      </w:r>
      <w:r w:rsidR="00DC4EEA" w:rsidRPr="0028004B">
        <w:t>material flows and</w:t>
      </w:r>
      <w:r w:rsidR="00A02674" w:rsidRPr="0028004B">
        <w:t xml:space="preserve"> </w:t>
      </w:r>
      <w:r w:rsidR="00B63BDA" w:rsidRPr="0028004B">
        <w:t>retain the</w:t>
      </w:r>
      <w:r w:rsidR="003501B1" w:rsidRPr="0028004B">
        <w:t xml:space="preserve"> ability to </w:t>
      </w:r>
      <w:r w:rsidR="00E9706F" w:rsidRPr="0028004B">
        <w:t xml:space="preserve">easily </w:t>
      </w:r>
      <w:r w:rsidR="00B63BDA" w:rsidRPr="0028004B">
        <w:t>share</w:t>
      </w:r>
      <w:r w:rsidR="00721A85" w:rsidRPr="0028004B">
        <w:t xml:space="preserve"> or report</w:t>
      </w:r>
      <w:r w:rsidR="00A02674" w:rsidRPr="0028004B">
        <w:t xml:space="preserve"> results </w:t>
      </w:r>
      <w:r w:rsidR="00E9706F" w:rsidRPr="0028004B">
        <w:t>for multiple food loss and waste</w:t>
      </w:r>
      <w:r w:rsidR="00B63BDA" w:rsidRPr="0028004B">
        <w:t xml:space="preserve"> programs</w:t>
      </w:r>
      <w:r w:rsidR="0028004B" w:rsidRPr="0028004B">
        <w:t>, including achieving SDG Target 12.3,</w:t>
      </w:r>
      <w:r w:rsidR="00B63BDA" w:rsidRPr="0028004B">
        <w:t xml:space="preserve"> that </w:t>
      </w:r>
      <w:r w:rsidR="00E9706F" w:rsidRPr="0028004B">
        <w:t>may have</w:t>
      </w:r>
      <w:r w:rsidR="00A02674" w:rsidRPr="0028004B">
        <w:t xml:space="preserve"> different scope</w:t>
      </w:r>
      <w:r w:rsidR="00E9706F" w:rsidRPr="0028004B">
        <w:t>s</w:t>
      </w:r>
      <w:r w:rsidR="00A02674" w:rsidRPr="0028004B">
        <w:t>.</w:t>
      </w:r>
    </w:p>
    <w:p w14:paraId="5B28FB6C" w14:textId="77777777" w:rsidR="00DD5778" w:rsidRDefault="00DD5778" w:rsidP="00087D4C">
      <w:pPr>
        <w:spacing w:after="0" w:line="240" w:lineRule="auto"/>
      </w:pPr>
    </w:p>
    <w:p w14:paraId="4E425020" w14:textId="2F86C758" w:rsidR="00A95340" w:rsidRDefault="00721A85" w:rsidP="00087D4C">
      <w:pPr>
        <w:spacing w:after="0" w:line="240" w:lineRule="auto"/>
      </w:pPr>
      <w:r>
        <w:t>T</w:t>
      </w:r>
      <w:r w:rsidR="00A95340">
        <w:t xml:space="preserve">here </w:t>
      </w:r>
      <w:r>
        <w:t xml:space="preserve">already </w:t>
      </w:r>
      <w:r w:rsidR="00A95340">
        <w:t xml:space="preserve">is a hierarchy among the suite of destinations in terms of which generate the most value for people and the planet. Although there are slight variations around the world, </w:t>
      </w:r>
      <w:r w:rsidR="00BE2329">
        <w:rPr>
          <w:color w:val="000099"/>
        </w:rPr>
        <w:t>Figure 3</w:t>
      </w:r>
      <w:r w:rsidR="00A95340">
        <w:t xml:space="preserve"> gives a </w:t>
      </w:r>
      <w:r w:rsidR="00B459DB">
        <w:t>perspective on this</w:t>
      </w:r>
      <w:r w:rsidR="00A95340">
        <w:t xml:space="preserve"> hierarchy.</w:t>
      </w:r>
      <w:r w:rsidR="00320A16">
        <w:t xml:space="preserve"> </w:t>
      </w:r>
    </w:p>
    <w:p w14:paraId="6108B90F" w14:textId="77777777" w:rsidR="00A95340" w:rsidRDefault="00A95340" w:rsidP="00087D4C">
      <w:pPr>
        <w:spacing w:after="0" w:line="240" w:lineRule="auto"/>
      </w:pPr>
    </w:p>
    <w:p w14:paraId="26B061B2" w14:textId="77777777" w:rsidR="00A95340" w:rsidRDefault="00E57308" w:rsidP="0059066B">
      <w:pPr>
        <w:spacing w:after="0" w:line="240" w:lineRule="auto"/>
        <w:jc w:val="center"/>
      </w:pPr>
      <w:r>
        <w:rPr>
          <w:noProof/>
        </w:rPr>
        <w:drawing>
          <wp:inline distT="0" distB="0" distL="0" distR="0" wp14:anchorId="09B91FAD" wp14:editId="1E00EFFD">
            <wp:extent cx="4743450" cy="3566160"/>
            <wp:effectExtent l="19050" t="19050" r="19050" b="152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10096" r="10096"/>
                    <a:stretch/>
                  </pic:blipFill>
                  <pic:spPr bwMode="auto">
                    <a:xfrm>
                      <a:off x="0" y="0"/>
                      <a:ext cx="4743450" cy="3566160"/>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57A0BD0F" w14:textId="77777777" w:rsidR="00DE7AE7" w:rsidRDefault="00DE7AE7" w:rsidP="00916250">
      <w:pPr>
        <w:spacing w:after="0" w:line="240" w:lineRule="auto"/>
      </w:pPr>
    </w:p>
    <w:p w14:paraId="4C81C8A8" w14:textId="77777777" w:rsidR="00DE7AE7" w:rsidRPr="00916250" w:rsidRDefault="00916250" w:rsidP="00916250">
      <w:pPr>
        <w:spacing w:after="120" w:line="240" w:lineRule="auto"/>
        <w:rPr>
          <w:b/>
          <w:color w:val="000099"/>
        </w:rPr>
      </w:pPr>
      <w:r w:rsidRPr="00916250">
        <w:rPr>
          <w:b/>
          <w:color w:val="000099"/>
        </w:rPr>
        <w:t>THE ASPIRATION</w:t>
      </w:r>
    </w:p>
    <w:p w14:paraId="29FBB790" w14:textId="77777777" w:rsidR="00BE23A4" w:rsidRDefault="00BE23A4" w:rsidP="00030CDF">
      <w:pPr>
        <w:pStyle w:val="p1"/>
        <w:shd w:val="clear" w:color="auto" w:fill="FFFFFF"/>
        <w:jc w:val="both"/>
        <w:rPr>
          <w:rFonts w:ascii="Calibri" w:hAnsi="Calibri"/>
          <w:sz w:val="22"/>
          <w:szCs w:val="22"/>
        </w:rPr>
      </w:pPr>
      <w:r>
        <w:rPr>
          <w:rFonts w:ascii="Calibri" w:hAnsi="Calibri"/>
          <w:sz w:val="22"/>
          <w:szCs w:val="22"/>
        </w:rPr>
        <w:t xml:space="preserve">These recommendations are designed to help governments and companies more effectively, confidently, and consistently set food loss and waste reduction targets and measure performance over time. They are designed to help governments and companies set their scopes when conducting food loss and waste inventories. In addition, they are designed to </w:t>
      </w:r>
      <w:r w:rsidR="00DD7077">
        <w:rPr>
          <w:rFonts w:ascii="Calibri" w:hAnsi="Calibri"/>
          <w:sz w:val="22"/>
          <w:szCs w:val="22"/>
        </w:rPr>
        <w:t>provide input into</w:t>
      </w:r>
      <w:r>
        <w:rPr>
          <w:rFonts w:ascii="Calibri" w:hAnsi="Calibri"/>
          <w:sz w:val="22"/>
          <w:szCs w:val="22"/>
        </w:rPr>
        <w:t xml:space="preserve"> the ongoing process for developing and refining indicators for tracking the SDGs. </w:t>
      </w:r>
    </w:p>
    <w:p w14:paraId="38BDE3AF" w14:textId="77777777" w:rsidR="00BE23A4" w:rsidRDefault="00BE23A4" w:rsidP="00030CDF">
      <w:pPr>
        <w:pStyle w:val="p1"/>
        <w:shd w:val="clear" w:color="auto" w:fill="FFFFFF"/>
        <w:jc w:val="both"/>
        <w:rPr>
          <w:rFonts w:ascii="Calibri" w:hAnsi="Calibri"/>
          <w:sz w:val="22"/>
          <w:szCs w:val="22"/>
        </w:rPr>
      </w:pPr>
    </w:p>
    <w:p w14:paraId="67D47847" w14:textId="300D246A" w:rsidR="00030CDF" w:rsidRDefault="00030CDF" w:rsidP="00030CDF">
      <w:pPr>
        <w:pStyle w:val="p1"/>
        <w:shd w:val="clear" w:color="auto" w:fill="FFFFFF"/>
        <w:jc w:val="both"/>
        <w:rPr>
          <w:rFonts w:ascii="Calibri" w:hAnsi="Calibri"/>
          <w:sz w:val="22"/>
          <w:szCs w:val="22"/>
        </w:rPr>
      </w:pPr>
      <w:r>
        <w:rPr>
          <w:rFonts w:ascii="Calibri" w:hAnsi="Calibri"/>
          <w:sz w:val="22"/>
          <w:szCs w:val="22"/>
        </w:rPr>
        <w:t>SDG Target 12.3 is a once-in-a-generation call to action. Governments and companies should adopt this target as their own, start measu</w:t>
      </w:r>
      <w:r w:rsidR="007F2539">
        <w:rPr>
          <w:rFonts w:ascii="Calibri" w:hAnsi="Calibri"/>
          <w:sz w:val="22"/>
          <w:szCs w:val="22"/>
        </w:rPr>
        <w:t xml:space="preserve">ring to manage, and boldly take </w:t>
      </w:r>
      <w:r>
        <w:rPr>
          <w:rFonts w:ascii="Calibri" w:hAnsi="Calibri"/>
          <w:sz w:val="22"/>
          <w:szCs w:val="22"/>
        </w:rPr>
        <w:t>action. If we all do this, we will take a big step toward a future that improves economic performance, achieves food security</w:t>
      </w:r>
      <w:r w:rsidRPr="00C12F47">
        <w:rPr>
          <w:rFonts w:ascii="Calibri" w:hAnsi="Calibri"/>
          <w:sz w:val="22"/>
          <w:szCs w:val="22"/>
        </w:rPr>
        <w:t xml:space="preserve">, </w:t>
      </w:r>
      <w:r>
        <w:rPr>
          <w:rFonts w:ascii="Calibri" w:hAnsi="Calibri"/>
          <w:sz w:val="22"/>
          <w:szCs w:val="22"/>
        </w:rPr>
        <w:t xml:space="preserve">strengthens social conditions, </w:t>
      </w:r>
      <w:r w:rsidR="00B76BF0">
        <w:rPr>
          <w:rFonts w:ascii="Calibri" w:hAnsi="Calibri"/>
          <w:sz w:val="22"/>
          <w:szCs w:val="22"/>
        </w:rPr>
        <w:t xml:space="preserve">promotes resource-use efficiency, </w:t>
      </w:r>
      <w:r w:rsidRPr="00C12F47">
        <w:rPr>
          <w:rFonts w:ascii="Calibri" w:hAnsi="Calibri"/>
          <w:sz w:val="22"/>
          <w:szCs w:val="22"/>
        </w:rPr>
        <w:t>protect</w:t>
      </w:r>
      <w:r>
        <w:rPr>
          <w:rFonts w:ascii="Calibri" w:hAnsi="Calibri"/>
          <w:sz w:val="22"/>
          <w:szCs w:val="22"/>
        </w:rPr>
        <w:t>s</w:t>
      </w:r>
      <w:r w:rsidRPr="00C12F47">
        <w:rPr>
          <w:rFonts w:ascii="Calibri" w:hAnsi="Calibri"/>
          <w:sz w:val="22"/>
          <w:szCs w:val="22"/>
        </w:rPr>
        <w:t xml:space="preserve"> the planet, and </w:t>
      </w:r>
      <w:r>
        <w:rPr>
          <w:rFonts w:ascii="Calibri" w:hAnsi="Calibri"/>
          <w:sz w:val="22"/>
          <w:szCs w:val="22"/>
        </w:rPr>
        <w:t>contributes to</w:t>
      </w:r>
      <w:r w:rsidRPr="00C12F47">
        <w:rPr>
          <w:rFonts w:ascii="Calibri" w:hAnsi="Calibri"/>
          <w:sz w:val="22"/>
          <w:szCs w:val="22"/>
        </w:rPr>
        <w:t xml:space="preserve"> prosperity for all</w:t>
      </w:r>
      <w:r>
        <w:rPr>
          <w:rFonts w:ascii="Calibri" w:hAnsi="Calibri"/>
          <w:sz w:val="22"/>
          <w:szCs w:val="22"/>
        </w:rPr>
        <w:t>.</w:t>
      </w:r>
    </w:p>
    <w:p w14:paraId="5D17357A" w14:textId="77777777" w:rsidR="00BE2329" w:rsidRDefault="00BE2329">
      <w:pPr>
        <w:rPr>
          <w:b/>
          <w:color w:val="000099"/>
        </w:rPr>
      </w:pPr>
      <w:r>
        <w:rPr>
          <w:b/>
          <w:color w:val="000099"/>
        </w:rPr>
        <w:br w:type="page"/>
      </w:r>
    </w:p>
    <w:p w14:paraId="5E6B628F" w14:textId="77777777" w:rsidR="00F053A2" w:rsidRPr="00F053A2" w:rsidRDefault="00F053A2" w:rsidP="00087D4C">
      <w:pPr>
        <w:spacing w:after="0" w:line="240" w:lineRule="auto"/>
        <w:rPr>
          <w:b/>
          <w:color w:val="000099"/>
        </w:rPr>
      </w:pPr>
      <w:r w:rsidRPr="00F053A2">
        <w:rPr>
          <w:b/>
          <w:color w:val="000099"/>
        </w:rPr>
        <w:lastRenderedPageBreak/>
        <w:t>APPENDIX</w:t>
      </w:r>
    </w:p>
    <w:p w14:paraId="58B0EE9A" w14:textId="77777777" w:rsidR="00F053A2" w:rsidRDefault="00F053A2" w:rsidP="00087D4C">
      <w:pPr>
        <w:spacing w:after="0" w:line="240" w:lineRule="auto"/>
      </w:pPr>
    </w:p>
    <w:p w14:paraId="16BE5DF1" w14:textId="77777777" w:rsidR="00F053A2" w:rsidRPr="00F053A2" w:rsidRDefault="00F053A2" w:rsidP="00F053A2">
      <w:pPr>
        <w:spacing w:after="120" w:line="240" w:lineRule="auto"/>
        <w:rPr>
          <w:b/>
          <w:color w:val="000099"/>
        </w:rPr>
      </w:pPr>
      <w:r w:rsidRPr="00F053A2">
        <w:rPr>
          <w:b/>
          <w:color w:val="000099"/>
        </w:rPr>
        <w:t>Definitions of “food” and “inedible parts”</w:t>
      </w:r>
      <w:r>
        <w:rPr>
          <w:rStyle w:val="EndnoteReference"/>
          <w:b/>
          <w:color w:val="000099"/>
        </w:rPr>
        <w:endnoteReference w:id="13"/>
      </w:r>
    </w:p>
    <w:p w14:paraId="2026B1C8" w14:textId="77777777" w:rsidR="001A3588" w:rsidRPr="001A3588" w:rsidRDefault="00F053A2" w:rsidP="00F053A2">
      <w:pPr>
        <w:spacing w:after="0" w:line="240" w:lineRule="auto"/>
        <w:jc w:val="both"/>
      </w:pPr>
      <w:r>
        <w:t>“</w:t>
      </w:r>
      <w:r w:rsidR="001A3588">
        <w:t>Food</w:t>
      </w:r>
      <w:r>
        <w:t>”</w:t>
      </w:r>
      <w:r w:rsidR="001A3588">
        <w:t xml:space="preserve"> is a</w:t>
      </w:r>
      <w:r w:rsidR="001A3588" w:rsidRPr="001A3588">
        <w:t>ny substance—whether processed, semi-processed, or raw—that is i</w:t>
      </w:r>
      <w:r w:rsidR="001A3588">
        <w:t xml:space="preserve">ntended for human consumption. Food </w:t>
      </w:r>
      <w:r w:rsidR="001A3588" w:rsidRPr="001A3588">
        <w:t>includes drink, and any substance that has been used in the manufacture, prep</w:t>
      </w:r>
      <w:r w:rsidR="001A3588">
        <w:t>aration, or treatment of food. Food</w:t>
      </w:r>
      <w:r w:rsidR="001A3588" w:rsidRPr="001A3588">
        <w:t xml:space="preserve"> also includes material that has spoiled and is therefore no longer fi</w:t>
      </w:r>
      <w:r w:rsidR="001A3588">
        <w:t xml:space="preserve">t for human consumption. </w:t>
      </w:r>
      <w:r w:rsidR="001A3588" w:rsidRPr="001A3588">
        <w:t xml:space="preserve">It does not include cosmetics, tobacco, or </w:t>
      </w:r>
      <w:r w:rsidR="001A3588">
        <w:t xml:space="preserve">substances used only as drugs. </w:t>
      </w:r>
      <w:r w:rsidR="001A3588" w:rsidRPr="001A3588">
        <w:t>It does not include processing agents used along the food supply chain, for example, water to clean or cook raw materials in factories or at home.</w:t>
      </w:r>
    </w:p>
    <w:p w14:paraId="077F0739" w14:textId="77777777" w:rsidR="001A3588" w:rsidRPr="001A3588" w:rsidRDefault="001A3588" w:rsidP="00F053A2">
      <w:pPr>
        <w:spacing w:after="0" w:line="240" w:lineRule="auto"/>
        <w:jc w:val="both"/>
      </w:pPr>
    </w:p>
    <w:p w14:paraId="2F44C6B6" w14:textId="5C4AE22B" w:rsidR="001A3588" w:rsidRDefault="00F053A2" w:rsidP="00F053A2">
      <w:pPr>
        <w:spacing w:after="0" w:line="240" w:lineRule="auto"/>
        <w:jc w:val="both"/>
      </w:pPr>
      <w:r>
        <w:t>“</w:t>
      </w:r>
      <w:r w:rsidR="001A3588" w:rsidRPr="001A3588">
        <w:t>Inedibl</w:t>
      </w:r>
      <w:r w:rsidR="001A3588">
        <w:t>e parts</w:t>
      </w:r>
      <w:r>
        <w:t>”</w:t>
      </w:r>
      <w:r w:rsidR="001A3588">
        <w:t xml:space="preserve"> are c</w:t>
      </w:r>
      <w:r w:rsidR="001A3588" w:rsidRPr="001A3588">
        <w:t>omponents associated with a food that, in a particular food supply chain, are not inte</w:t>
      </w:r>
      <w:r w:rsidR="001A3588">
        <w:t xml:space="preserve">nded to be consumed by humans. </w:t>
      </w:r>
      <w:r w:rsidR="001A3588" w:rsidRPr="001A3588">
        <w:t xml:space="preserve">Examples of inedible parts associated with food could include </w:t>
      </w:r>
      <w:r w:rsidR="001A3588">
        <w:t xml:space="preserve">bones, rinds, and pits/stones. </w:t>
      </w:r>
      <w:r>
        <w:t>Inedible parts</w:t>
      </w:r>
      <w:r w:rsidR="001A3588" w:rsidRPr="001A3588">
        <w:t xml:space="preserve"> do not include pa</w:t>
      </w:r>
      <w:r>
        <w:t xml:space="preserve">ckaging. </w:t>
      </w:r>
      <w:r w:rsidR="001A3588" w:rsidRPr="001A3588">
        <w:t xml:space="preserve">What is considered inedible varies among users (e.g., chicken feet are consumed in some food supply chains but not </w:t>
      </w:r>
      <w:r w:rsidR="00C23E87">
        <w:t xml:space="preserve">in </w:t>
      </w:r>
      <w:r w:rsidR="001A3588" w:rsidRPr="001A3588">
        <w:t>others), changes over time, and is influenced by a range of variables</w:t>
      </w:r>
      <w:r w:rsidR="00115042">
        <w:t>,</w:t>
      </w:r>
      <w:r w:rsidR="001A3588" w:rsidRPr="001A3588">
        <w:t xml:space="preserve"> including culture, socioeconomic factors, availability, price, technological advances, international trade, and geography</w:t>
      </w:r>
      <w:r w:rsidR="0004321E">
        <w:t>.</w:t>
      </w:r>
    </w:p>
    <w:p w14:paraId="7C880603" w14:textId="77777777" w:rsidR="00F053A2" w:rsidRDefault="00F053A2" w:rsidP="00F053A2">
      <w:pPr>
        <w:spacing w:after="0" w:line="240" w:lineRule="auto"/>
        <w:jc w:val="both"/>
      </w:pPr>
    </w:p>
    <w:p w14:paraId="095B8F63" w14:textId="77777777" w:rsidR="00F053A2" w:rsidRPr="00F053A2" w:rsidRDefault="00F053A2" w:rsidP="00C13A5A">
      <w:pPr>
        <w:spacing w:after="120" w:line="240" w:lineRule="auto"/>
        <w:jc w:val="both"/>
        <w:rPr>
          <w:b/>
          <w:color w:val="000099"/>
        </w:rPr>
      </w:pPr>
      <w:r w:rsidRPr="00F053A2">
        <w:rPr>
          <w:b/>
          <w:color w:val="000099"/>
        </w:rPr>
        <w:t>Definitions of destinations</w:t>
      </w:r>
      <w:r>
        <w:rPr>
          <w:rStyle w:val="EndnoteReference"/>
          <w:b/>
          <w:color w:val="000099"/>
        </w:rPr>
        <w:endnoteReference w:id="14"/>
      </w:r>
    </w:p>
    <w:p w14:paraId="18988AD4" w14:textId="4D697BE3" w:rsidR="00F053A2" w:rsidRDefault="00C23E87" w:rsidP="00F053A2">
      <w:pPr>
        <w:spacing w:after="0" w:line="240" w:lineRule="auto"/>
        <w:jc w:val="both"/>
      </w:pPr>
      <w:r>
        <w:t xml:space="preserve">“Destinations” are where food and/or associated inedible parts that leave the human food supply chain go. </w:t>
      </w:r>
      <w:r w:rsidR="00087EED" w:rsidRPr="00087EED">
        <w:t>The destinations</w:t>
      </w:r>
      <w:r>
        <w:t xml:space="preserve"> below</w:t>
      </w:r>
      <w:r w:rsidR="00087EED" w:rsidRPr="00087EED">
        <w:t xml:space="preserve"> are presented in alphabetical order and </w:t>
      </w:r>
      <w:r w:rsidR="00C13A5A">
        <w:t xml:space="preserve">are </w:t>
      </w:r>
      <w:r w:rsidR="00087EED" w:rsidRPr="00087EED">
        <w:t xml:space="preserve">focused on the processes used to convert material exiting the food supply chain rather than on the ultimate output (e.g., fuel, soil amendment). See Chapter 6 of the </w:t>
      </w:r>
      <w:r w:rsidR="00087EED" w:rsidRPr="00C13A5A">
        <w:rPr>
          <w:i/>
        </w:rPr>
        <w:t>FLW Standard</w:t>
      </w:r>
      <w:r w:rsidR="00087EED" w:rsidRPr="00087EED">
        <w:t xml:space="preserve"> for additional detail.</w:t>
      </w:r>
    </w:p>
    <w:p w14:paraId="06BAF616" w14:textId="77777777" w:rsidR="00087EED" w:rsidRDefault="00087EED" w:rsidP="00F053A2">
      <w:pPr>
        <w:spacing w:after="0" w:line="240" w:lineRule="auto"/>
        <w:jc w:val="both"/>
      </w:pPr>
    </w:p>
    <w:p w14:paraId="48BF18BD" w14:textId="2970DFB6" w:rsidR="003E62E5" w:rsidRPr="00C23E87" w:rsidRDefault="00496FEE" w:rsidP="00C23E87">
      <w:pPr>
        <w:spacing w:after="0" w:line="240" w:lineRule="auto"/>
        <w:jc w:val="center"/>
      </w:pPr>
      <w:r>
        <w:rPr>
          <w:noProof/>
        </w:rPr>
        <w:drawing>
          <wp:inline distT="0" distB="0" distL="0" distR="0" wp14:anchorId="56BBB68A" wp14:editId="057F3C77">
            <wp:extent cx="5272644" cy="3978218"/>
            <wp:effectExtent l="19050" t="19050" r="23495" b="228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10190" r="10287"/>
                    <a:stretch/>
                  </pic:blipFill>
                  <pic:spPr bwMode="auto">
                    <a:xfrm>
                      <a:off x="0" y="0"/>
                      <a:ext cx="5285765" cy="3988117"/>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6624E4CC" w14:textId="77777777" w:rsidR="00087D4C" w:rsidRPr="00242238" w:rsidRDefault="00242238" w:rsidP="00087D4C">
      <w:pPr>
        <w:spacing w:after="0" w:line="240" w:lineRule="auto"/>
        <w:rPr>
          <w:b/>
          <w:color w:val="000099"/>
        </w:rPr>
      </w:pPr>
      <w:r w:rsidRPr="00242238">
        <w:rPr>
          <w:b/>
          <w:color w:val="000099"/>
        </w:rPr>
        <w:lastRenderedPageBreak/>
        <w:t>NOTES</w:t>
      </w:r>
    </w:p>
    <w:sectPr w:rsidR="00087D4C" w:rsidRPr="00242238">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6566B5" w14:textId="77777777" w:rsidR="005A6819" w:rsidRDefault="005A6819" w:rsidP="00781F5E">
      <w:pPr>
        <w:spacing w:after="0" w:line="240" w:lineRule="auto"/>
      </w:pPr>
      <w:r>
        <w:separator/>
      </w:r>
    </w:p>
  </w:endnote>
  <w:endnote w:type="continuationSeparator" w:id="0">
    <w:p w14:paraId="226739EB" w14:textId="77777777" w:rsidR="005A6819" w:rsidRDefault="005A6819" w:rsidP="00781F5E">
      <w:pPr>
        <w:spacing w:after="0" w:line="240" w:lineRule="auto"/>
      </w:pPr>
      <w:r>
        <w:continuationSeparator/>
      </w:r>
    </w:p>
  </w:endnote>
  <w:endnote w:id="1">
    <w:p w14:paraId="772357AA" w14:textId="77777777" w:rsidR="00DD538D" w:rsidRPr="006806A7" w:rsidRDefault="00DD538D" w:rsidP="00984886">
      <w:pPr>
        <w:spacing w:after="0" w:line="240" w:lineRule="auto"/>
        <w:rPr>
          <w:sz w:val="18"/>
          <w:szCs w:val="18"/>
        </w:rPr>
      </w:pPr>
      <w:r w:rsidRPr="006806A7">
        <w:rPr>
          <w:rStyle w:val="EndnoteReference"/>
          <w:rFonts w:eastAsia="MS Mincho"/>
          <w:sz w:val="18"/>
          <w:szCs w:val="18"/>
        </w:rPr>
        <w:endnoteRef/>
      </w:r>
      <w:r w:rsidRPr="006806A7">
        <w:rPr>
          <w:sz w:val="18"/>
          <w:szCs w:val="18"/>
        </w:rPr>
        <w:t xml:space="preserve"> One-third as measured by weight.  </w:t>
      </w:r>
      <w:r w:rsidRPr="006806A7">
        <w:rPr>
          <w:rFonts w:cs="Calibri"/>
          <w:sz w:val="18"/>
          <w:szCs w:val="18"/>
        </w:rPr>
        <w:t xml:space="preserve">FAO (Food and Agriculture Organization of the United Nations). 2011. </w:t>
      </w:r>
      <w:r w:rsidRPr="006806A7">
        <w:rPr>
          <w:rFonts w:cs="Calibri"/>
          <w:i/>
          <w:sz w:val="18"/>
          <w:szCs w:val="18"/>
        </w:rPr>
        <w:t>Global food losses and food waste – extent, causes and prevention</w:t>
      </w:r>
      <w:r w:rsidRPr="006806A7">
        <w:rPr>
          <w:rFonts w:cs="Calibri"/>
          <w:sz w:val="18"/>
          <w:szCs w:val="18"/>
        </w:rPr>
        <w:t>. Rome: UN FAO.</w:t>
      </w:r>
    </w:p>
  </w:endnote>
  <w:endnote w:id="2">
    <w:p w14:paraId="21E70D2B" w14:textId="77777777" w:rsidR="00DD538D" w:rsidRPr="006806A7" w:rsidRDefault="00DD538D" w:rsidP="00984886">
      <w:pPr>
        <w:pStyle w:val="EndnoteText"/>
        <w:rPr>
          <w:sz w:val="18"/>
          <w:szCs w:val="18"/>
        </w:rPr>
      </w:pPr>
      <w:r w:rsidRPr="006806A7">
        <w:rPr>
          <w:rStyle w:val="EndnoteReference"/>
          <w:sz w:val="18"/>
          <w:szCs w:val="18"/>
        </w:rPr>
        <w:endnoteRef/>
      </w:r>
      <w:r w:rsidRPr="006806A7">
        <w:rPr>
          <w:sz w:val="18"/>
          <w:szCs w:val="18"/>
        </w:rPr>
        <w:t xml:space="preserve"> </w:t>
      </w:r>
      <w:r w:rsidRPr="006806A7">
        <w:rPr>
          <w:rFonts w:asciiTheme="minorHAnsi" w:hAnsiTheme="minorHAnsi"/>
          <w:sz w:val="18"/>
          <w:szCs w:val="18"/>
        </w:rPr>
        <w:t xml:space="preserve">FAO. 2015. </w:t>
      </w:r>
      <w:r w:rsidRPr="006806A7">
        <w:rPr>
          <w:rFonts w:asciiTheme="minorHAnsi" w:hAnsiTheme="minorHAnsi"/>
          <w:i/>
          <w:sz w:val="18"/>
          <w:szCs w:val="18"/>
        </w:rPr>
        <w:t>Food wastage footprint &amp; climate change.</w:t>
      </w:r>
      <w:r w:rsidRPr="006806A7">
        <w:rPr>
          <w:rFonts w:asciiTheme="minorHAnsi" w:hAnsiTheme="minorHAnsi"/>
          <w:sz w:val="18"/>
          <w:szCs w:val="18"/>
        </w:rPr>
        <w:t xml:space="preserve">  Rome: UN FAO.</w:t>
      </w:r>
    </w:p>
  </w:endnote>
  <w:endnote w:id="3">
    <w:p w14:paraId="37F10091" w14:textId="77777777" w:rsidR="00DD538D" w:rsidRPr="006806A7" w:rsidRDefault="00DD538D" w:rsidP="00984886">
      <w:pPr>
        <w:pStyle w:val="EndnoteText"/>
        <w:rPr>
          <w:rFonts w:asciiTheme="minorHAnsi" w:hAnsiTheme="minorHAnsi"/>
          <w:sz w:val="18"/>
          <w:szCs w:val="18"/>
        </w:rPr>
      </w:pPr>
      <w:r w:rsidRPr="006806A7">
        <w:rPr>
          <w:rStyle w:val="EndnoteReference"/>
          <w:rFonts w:asciiTheme="minorHAnsi" w:hAnsiTheme="minorHAnsi"/>
          <w:sz w:val="18"/>
          <w:szCs w:val="18"/>
        </w:rPr>
        <w:endnoteRef/>
      </w:r>
      <w:r w:rsidRPr="006806A7">
        <w:rPr>
          <w:rFonts w:asciiTheme="minorHAnsi" w:hAnsiTheme="minorHAnsi"/>
          <w:sz w:val="18"/>
          <w:szCs w:val="18"/>
        </w:rPr>
        <w:t xml:space="preserve"> World Food Programme. 2016. “Hunger Statistics.” Accessible at: &lt;https://www.wfp.org/hunger/stats&gt;.</w:t>
      </w:r>
    </w:p>
  </w:endnote>
  <w:endnote w:id="4">
    <w:p w14:paraId="33AF7B44" w14:textId="77777777" w:rsidR="00DD538D" w:rsidRPr="006806A7" w:rsidRDefault="00DD538D">
      <w:pPr>
        <w:pStyle w:val="EndnoteText"/>
        <w:rPr>
          <w:sz w:val="18"/>
          <w:szCs w:val="18"/>
        </w:rPr>
      </w:pPr>
      <w:r w:rsidRPr="006806A7">
        <w:rPr>
          <w:rStyle w:val="EndnoteReference"/>
          <w:sz w:val="18"/>
          <w:szCs w:val="18"/>
        </w:rPr>
        <w:endnoteRef/>
      </w:r>
      <w:r w:rsidRPr="006806A7">
        <w:rPr>
          <w:sz w:val="18"/>
          <w:szCs w:val="18"/>
        </w:rPr>
        <w:t xml:space="preserve"> Lipinski, B. et al. 2013. </w:t>
      </w:r>
      <w:r w:rsidRPr="006806A7">
        <w:rPr>
          <w:i/>
          <w:sz w:val="18"/>
          <w:szCs w:val="18"/>
        </w:rPr>
        <w:t>Reducing Food Loss and Waste</w:t>
      </w:r>
      <w:r w:rsidRPr="006806A7">
        <w:rPr>
          <w:sz w:val="18"/>
          <w:szCs w:val="18"/>
        </w:rPr>
        <w:t>. Working Paper. Washington, DC: World Resources Institute.</w:t>
      </w:r>
    </w:p>
  </w:endnote>
  <w:endnote w:id="5">
    <w:p w14:paraId="6E18A935" w14:textId="77777777" w:rsidR="00DD538D" w:rsidRPr="006806A7" w:rsidRDefault="00DD538D" w:rsidP="00984886">
      <w:pPr>
        <w:pStyle w:val="EndnoteText"/>
        <w:rPr>
          <w:rFonts w:asciiTheme="minorHAnsi" w:hAnsiTheme="minorHAnsi"/>
          <w:sz w:val="18"/>
          <w:szCs w:val="18"/>
        </w:rPr>
      </w:pPr>
      <w:r w:rsidRPr="006806A7">
        <w:rPr>
          <w:rStyle w:val="EndnoteReference"/>
          <w:rFonts w:asciiTheme="minorHAnsi" w:hAnsiTheme="minorHAnsi"/>
          <w:sz w:val="18"/>
          <w:szCs w:val="18"/>
        </w:rPr>
        <w:endnoteRef/>
      </w:r>
      <w:r w:rsidRPr="006806A7">
        <w:rPr>
          <w:rFonts w:asciiTheme="minorHAnsi" w:hAnsiTheme="minorHAnsi"/>
          <w:sz w:val="18"/>
          <w:szCs w:val="18"/>
        </w:rPr>
        <w:t xml:space="preserve"> Kummu, M., H. de Moel, M. Porkka, S. Siebert, O. Varis, and P.J. Ward. 2012. “Lost food, wasted resources: Global food supply chain losses and their impacts on freshwater, cropland, and fertiliser use.” </w:t>
      </w:r>
      <w:r w:rsidRPr="006806A7">
        <w:rPr>
          <w:rFonts w:asciiTheme="minorHAnsi" w:hAnsiTheme="minorHAnsi"/>
          <w:i/>
          <w:sz w:val="18"/>
          <w:szCs w:val="18"/>
        </w:rPr>
        <w:t xml:space="preserve">Science of the Total Environment </w:t>
      </w:r>
      <w:r w:rsidRPr="006806A7">
        <w:rPr>
          <w:rFonts w:asciiTheme="minorHAnsi" w:hAnsiTheme="minorHAnsi"/>
          <w:sz w:val="18"/>
          <w:szCs w:val="18"/>
        </w:rPr>
        <w:t>438: 477–489.</w:t>
      </w:r>
    </w:p>
  </w:endnote>
  <w:endnote w:id="6">
    <w:p w14:paraId="4320375C" w14:textId="77777777" w:rsidR="00DD538D" w:rsidRPr="006806A7" w:rsidRDefault="00DD538D" w:rsidP="00984886">
      <w:pPr>
        <w:pStyle w:val="EndnoteText"/>
        <w:rPr>
          <w:rFonts w:asciiTheme="minorHAnsi" w:hAnsiTheme="minorHAnsi"/>
          <w:sz w:val="18"/>
          <w:szCs w:val="18"/>
        </w:rPr>
      </w:pPr>
      <w:r w:rsidRPr="006806A7">
        <w:rPr>
          <w:rStyle w:val="EndnoteReference"/>
          <w:rFonts w:asciiTheme="minorHAnsi" w:hAnsiTheme="minorHAnsi"/>
          <w:sz w:val="18"/>
          <w:szCs w:val="18"/>
        </w:rPr>
        <w:endnoteRef/>
      </w:r>
      <w:r w:rsidRPr="006806A7">
        <w:rPr>
          <w:rFonts w:asciiTheme="minorHAnsi" w:hAnsiTheme="minorHAnsi"/>
          <w:sz w:val="18"/>
          <w:szCs w:val="18"/>
        </w:rPr>
        <w:t xml:space="preserve"> FAO (Food and Agriculture Organization of the United Nations). 2013. </w:t>
      </w:r>
      <w:r w:rsidRPr="006806A7">
        <w:rPr>
          <w:rFonts w:asciiTheme="minorHAnsi" w:hAnsiTheme="minorHAnsi"/>
          <w:i/>
          <w:sz w:val="18"/>
          <w:szCs w:val="18"/>
        </w:rPr>
        <w:t>Food wastage footprint: impacts on natural resources.</w:t>
      </w:r>
      <w:r w:rsidRPr="006806A7">
        <w:rPr>
          <w:rFonts w:asciiTheme="minorHAnsi" w:hAnsiTheme="minorHAnsi"/>
          <w:sz w:val="18"/>
          <w:szCs w:val="18"/>
        </w:rPr>
        <w:t xml:space="preserve"> Rome: UN FAO.</w:t>
      </w:r>
    </w:p>
  </w:endnote>
  <w:endnote w:id="7">
    <w:p w14:paraId="45F8ADD9" w14:textId="77777777" w:rsidR="00DD538D" w:rsidRPr="006806A7" w:rsidRDefault="00DD538D" w:rsidP="00984886">
      <w:pPr>
        <w:pStyle w:val="EndnoteText"/>
        <w:rPr>
          <w:rFonts w:asciiTheme="minorHAnsi" w:hAnsiTheme="minorHAnsi"/>
          <w:sz w:val="18"/>
          <w:szCs w:val="18"/>
        </w:rPr>
      </w:pPr>
      <w:r w:rsidRPr="006806A7">
        <w:rPr>
          <w:rStyle w:val="EndnoteReference"/>
          <w:rFonts w:asciiTheme="minorHAnsi" w:hAnsiTheme="minorHAnsi"/>
          <w:sz w:val="18"/>
          <w:szCs w:val="18"/>
        </w:rPr>
        <w:endnoteRef/>
      </w:r>
      <w:r w:rsidRPr="006806A7">
        <w:rPr>
          <w:rFonts w:asciiTheme="minorHAnsi" w:hAnsiTheme="minorHAnsi"/>
          <w:sz w:val="18"/>
          <w:szCs w:val="18"/>
        </w:rPr>
        <w:t xml:space="preserve"> FAO. 2015. </w:t>
      </w:r>
      <w:r w:rsidRPr="006806A7">
        <w:rPr>
          <w:rFonts w:asciiTheme="minorHAnsi" w:hAnsiTheme="minorHAnsi"/>
          <w:i/>
          <w:sz w:val="18"/>
          <w:szCs w:val="18"/>
        </w:rPr>
        <w:t>Food wastage footprint &amp; climate change.</w:t>
      </w:r>
      <w:r w:rsidRPr="006806A7">
        <w:rPr>
          <w:rFonts w:asciiTheme="minorHAnsi" w:hAnsiTheme="minorHAnsi"/>
          <w:sz w:val="18"/>
          <w:szCs w:val="18"/>
        </w:rPr>
        <w:t xml:space="preserve">  Rome: UN FAO.</w:t>
      </w:r>
    </w:p>
  </w:endnote>
  <w:endnote w:id="8">
    <w:p w14:paraId="7032271C" w14:textId="77777777" w:rsidR="00DD538D" w:rsidRPr="006806A7" w:rsidRDefault="00DD538D">
      <w:pPr>
        <w:pStyle w:val="EndnoteText"/>
        <w:rPr>
          <w:sz w:val="18"/>
          <w:szCs w:val="18"/>
        </w:rPr>
      </w:pPr>
      <w:r w:rsidRPr="006806A7">
        <w:rPr>
          <w:rStyle w:val="EndnoteReference"/>
          <w:sz w:val="18"/>
          <w:szCs w:val="18"/>
        </w:rPr>
        <w:endnoteRef/>
      </w:r>
      <w:r w:rsidRPr="006806A7">
        <w:rPr>
          <w:sz w:val="18"/>
          <w:szCs w:val="18"/>
        </w:rPr>
        <w:t xml:space="preserve"> See http://www.un.org/sustainabledevelopment/sustainable-development-goals/#</w:t>
      </w:r>
    </w:p>
  </w:endnote>
  <w:endnote w:id="9">
    <w:p w14:paraId="4F134FBD" w14:textId="77777777" w:rsidR="00DD538D" w:rsidRPr="006806A7" w:rsidRDefault="00DD538D">
      <w:pPr>
        <w:pStyle w:val="EndnoteText"/>
        <w:rPr>
          <w:sz w:val="18"/>
          <w:szCs w:val="18"/>
        </w:rPr>
      </w:pPr>
      <w:r w:rsidRPr="006806A7">
        <w:rPr>
          <w:rStyle w:val="EndnoteReference"/>
          <w:sz w:val="18"/>
          <w:szCs w:val="18"/>
        </w:rPr>
        <w:endnoteRef/>
      </w:r>
      <w:r w:rsidRPr="006806A7">
        <w:rPr>
          <w:sz w:val="18"/>
          <w:szCs w:val="18"/>
        </w:rPr>
        <w:t xml:space="preserve"> The United Nations does not track province, city, or company progress toward the Sustainable Development Goals. </w:t>
      </w:r>
      <w:r w:rsidRPr="006806A7">
        <w:rPr>
          <w:i/>
          <w:sz w:val="18"/>
          <w:szCs w:val="18"/>
        </w:rPr>
        <w:t xml:space="preserve">The Food Loss and Waste Accounting and Reporting Standard </w:t>
      </w:r>
      <w:r w:rsidRPr="006806A7">
        <w:rPr>
          <w:sz w:val="18"/>
          <w:szCs w:val="18"/>
        </w:rPr>
        <w:t>provides guidance for provinces, cities, and companies (as well as countries) on food loss and waste accounting and reporting.</w:t>
      </w:r>
    </w:p>
  </w:endnote>
  <w:endnote w:id="10">
    <w:p w14:paraId="32E6D529" w14:textId="5EDCF696" w:rsidR="00DD538D" w:rsidRPr="006806A7" w:rsidRDefault="00DD538D" w:rsidP="00AE6F88">
      <w:pPr>
        <w:pStyle w:val="EndnoteText"/>
        <w:rPr>
          <w:sz w:val="18"/>
          <w:szCs w:val="18"/>
        </w:rPr>
      </w:pPr>
      <w:r w:rsidRPr="006806A7">
        <w:rPr>
          <w:rStyle w:val="EndnoteReference"/>
          <w:sz w:val="18"/>
          <w:szCs w:val="18"/>
        </w:rPr>
        <w:endnoteRef/>
      </w:r>
      <w:r w:rsidRPr="006806A7">
        <w:rPr>
          <w:sz w:val="18"/>
          <w:szCs w:val="18"/>
        </w:rPr>
        <w:t xml:space="preserve"> This gap is recognized by the Food and Agriculture Organization of the United Nations (FAO), which has stated, “The food waste component of target SDG 12.3 is not covered at all by this indicator,” and that there is “the need to have an additional indicator for the SDG 12.3 that will focus on monitoring the food waste component.” Tayyib, S., and N. Golini. 2016. “The FAO approach to food loss concepts and estimation in the context of Sustainable Development Goal 12 Target 3.” Discussion Paper. Rome: UN FAO.</w:t>
      </w:r>
    </w:p>
  </w:endnote>
  <w:endnote w:id="11">
    <w:p w14:paraId="6B6D769F" w14:textId="5FABB76F" w:rsidR="006806A7" w:rsidRPr="006806A7" w:rsidRDefault="006806A7">
      <w:pPr>
        <w:pStyle w:val="EndnoteText"/>
        <w:rPr>
          <w:sz w:val="18"/>
          <w:szCs w:val="18"/>
        </w:rPr>
      </w:pPr>
      <w:r w:rsidRPr="006806A7">
        <w:rPr>
          <w:rStyle w:val="EndnoteReference"/>
          <w:sz w:val="18"/>
          <w:szCs w:val="18"/>
        </w:rPr>
        <w:endnoteRef/>
      </w:r>
      <w:r w:rsidRPr="006806A7">
        <w:rPr>
          <w:sz w:val="18"/>
          <w:szCs w:val="18"/>
        </w:rPr>
        <w:t xml:space="preserve"> “Food” does not include crops grown with the intention of becoming animal feed, biofuels, or other non-food uses.</w:t>
      </w:r>
    </w:p>
  </w:endnote>
  <w:endnote w:id="12">
    <w:p w14:paraId="5C8C5504" w14:textId="0A2E24DD" w:rsidR="00DD538D" w:rsidRPr="006806A7" w:rsidRDefault="00DD538D">
      <w:pPr>
        <w:pStyle w:val="EndnoteText"/>
        <w:rPr>
          <w:sz w:val="18"/>
          <w:szCs w:val="18"/>
        </w:rPr>
      </w:pPr>
      <w:r w:rsidRPr="006806A7">
        <w:rPr>
          <w:rStyle w:val="EndnoteReference"/>
          <w:sz w:val="18"/>
          <w:szCs w:val="18"/>
        </w:rPr>
        <w:endnoteRef/>
      </w:r>
      <w:r w:rsidRPr="006806A7">
        <w:rPr>
          <w:sz w:val="18"/>
          <w:szCs w:val="18"/>
        </w:rPr>
        <w:t xml:space="preserve"> How to select a quantification method for a food loss and waste inventory is described in chapter 7 of </w:t>
      </w:r>
      <w:r w:rsidRPr="006806A7">
        <w:rPr>
          <w:i/>
          <w:sz w:val="18"/>
          <w:szCs w:val="18"/>
        </w:rPr>
        <w:t>The Food Loss and Waste Accounting and Reporting Standard</w:t>
      </w:r>
      <w:r w:rsidRPr="006806A7">
        <w:rPr>
          <w:sz w:val="18"/>
          <w:szCs w:val="18"/>
        </w:rPr>
        <w:t xml:space="preserve"> (2016). A companion document, </w:t>
      </w:r>
      <w:r w:rsidRPr="006806A7">
        <w:rPr>
          <w:i/>
          <w:sz w:val="18"/>
          <w:szCs w:val="18"/>
        </w:rPr>
        <w:t>Guidance on FLW Quantification Methods</w:t>
      </w:r>
      <w:r w:rsidRPr="006806A7">
        <w:rPr>
          <w:sz w:val="18"/>
          <w:szCs w:val="18"/>
        </w:rPr>
        <w:t xml:space="preserve">, provides an overview of ten ways in which an entity may obtain, </w:t>
      </w:r>
      <w:r w:rsidR="00971108">
        <w:rPr>
          <w:sz w:val="18"/>
          <w:szCs w:val="18"/>
        </w:rPr>
        <w:t xml:space="preserve">quantify, </w:t>
      </w:r>
      <w:r w:rsidRPr="006806A7">
        <w:rPr>
          <w:sz w:val="18"/>
          <w:szCs w:val="18"/>
        </w:rPr>
        <w:t>record, and analyze data for an FLW inventory.</w:t>
      </w:r>
    </w:p>
  </w:endnote>
  <w:endnote w:id="13">
    <w:p w14:paraId="0EA67377" w14:textId="77777777" w:rsidR="00DD538D" w:rsidRPr="006806A7" w:rsidRDefault="00DD538D">
      <w:pPr>
        <w:pStyle w:val="EndnoteText"/>
        <w:rPr>
          <w:sz w:val="18"/>
          <w:szCs w:val="18"/>
        </w:rPr>
      </w:pPr>
      <w:r w:rsidRPr="006806A7">
        <w:rPr>
          <w:rStyle w:val="EndnoteReference"/>
          <w:sz w:val="18"/>
          <w:szCs w:val="18"/>
        </w:rPr>
        <w:endnoteRef/>
      </w:r>
      <w:r w:rsidRPr="006806A7">
        <w:rPr>
          <w:sz w:val="18"/>
          <w:szCs w:val="18"/>
        </w:rPr>
        <w:t xml:space="preserve"> See FLW Protocol. 2016. </w:t>
      </w:r>
      <w:r w:rsidRPr="006806A7">
        <w:rPr>
          <w:i/>
          <w:sz w:val="18"/>
          <w:szCs w:val="18"/>
        </w:rPr>
        <w:t>The Food Loss and Waste Accounting and Reporting Standard</w:t>
      </w:r>
      <w:r w:rsidRPr="006806A7">
        <w:rPr>
          <w:sz w:val="18"/>
          <w:szCs w:val="18"/>
        </w:rPr>
        <w:t>. Washington, DC: Food Loss and Waste Protocol.</w:t>
      </w:r>
    </w:p>
  </w:endnote>
  <w:endnote w:id="14">
    <w:p w14:paraId="22A85D1F" w14:textId="77777777" w:rsidR="00DD538D" w:rsidRDefault="00DD538D">
      <w:pPr>
        <w:pStyle w:val="EndnoteText"/>
      </w:pPr>
      <w:r w:rsidRPr="006806A7">
        <w:rPr>
          <w:rStyle w:val="EndnoteReference"/>
          <w:sz w:val="18"/>
          <w:szCs w:val="18"/>
        </w:rPr>
        <w:endnoteRef/>
      </w:r>
      <w:r w:rsidRPr="006806A7">
        <w:rPr>
          <w:sz w:val="18"/>
          <w:szCs w:val="18"/>
        </w:rPr>
        <w:t xml:space="preserve"> See FLW Protocol. 2016. </w:t>
      </w:r>
      <w:r w:rsidRPr="006806A7">
        <w:rPr>
          <w:i/>
          <w:sz w:val="18"/>
          <w:szCs w:val="18"/>
        </w:rPr>
        <w:t>The Food Loss and Waste Accounting and Reporting Standard</w:t>
      </w:r>
      <w:r w:rsidRPr="006806A7">
        <w:rPr>
          <w:sz w:val="18"/>
          <w:szCs w:val="18"/>
        </w:rPr>
        <w:t>. Washington, DC: Food Loss and Waste Protocol.</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626460"/>
      <w:docPartObj>
        <w:docPartGallery w:val="Page Numbers (Bottom of Page)"/>
        <w:docPartUnique/>
      </w:docPartObj>
    </w:sdtPr>
    <w:sdtEndPr>
      <w:rPr>
        <w:noProof/>
      </w:rPr>
    </w:sdtEndPr>
    <w:sdtContent>
      <w:p w14:paraId="7BC671C9" w14:textId="3A5FB6EB" w:rsidR="00DD538D" w:rsidRDefault="00DD538D">
        <w:pPr>
          <w:pStyle w:val="Footer"/>
          <w:jc w:val="center"/>
        </w:pPr>
        <w:r>
          <w:fldChar w:fldCharType="begin"/>
        </w:r>
        <w:r>
          <w:instrText xml:space="preserve"> PAGE   \* MERGEFORMAT </w:instrText>
        </w:r>
        <w:r>
          <w:fldChar w:fldCharType="separate"/>
        </w:r>
        <w:r w:rsidR="00E37345">
          <w:rPr>
            <w:noProof/>
          </w:rPr>
          <w:t>1</w:t>
        </w:r>
        <w:r>
          <w:rPr>
            <w:noProof/>
          </w:rPr>
          <w:fldChar w:fldCharType="end"/>
        </w:r>
      </w:p>
    </w:sdtContent>
  </w:sdt>
  <w:p w14:paraId="070835D1" w14:textId="77777777" w:rsidR="00DD538D" w:rsidRDefault="00DD53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E6D263" w14:textId="77777777" w:rsidR="005A6819" w:rsidRDefault="005A6819" w:rsidP="00781F5E">
      <w:pPr>
        <w:spacing w:after="0" w:line="240" w:lineRule="auto"/>
      </w:pPr>
      <w:r>
        <w:separator/>
      </w:r>
    </w:p>
  </w:footnote>
  <w:footnote w:type="continuationSeparator" w:id="0">
    <w:p w14:paraId="7505FF2B" w14:textId="77777777" w:rsidR="005A6819" w:rsidRDefault="005A6819" w:rsidP="00781F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DBBE6" w14:textId="17F5553D" w:rsidR="00DD538D" w:rsidRPr="001701AD" w:rsidRDefault="007210DD" w:rsidP="00DD538D">
    <w:pPr>
      <w:pStyle w:val="Header"/>
      <w:jc w:val="center"/>
      <w:rPr>
        <w:i/>
      </w:rPr>
    </w:pPr>
    <w:r>
      <w:rPr>
        <w:i/>
      </w:rPr>
      <w:t>AUGUST</w:t>
    </w:r>
    <w:r w:rsidR="00DD538D">
      <w:rPr>
        <w:i/>
      </w:rPr>
      <w:t xml:space="preserve"> </w:t>
    </w:r>
    <w:r>
      <w:rPr>
        <w:i/>
      </w:rPr>
      <w:t>12</w:t>
    </w:r>
    <w:r w:rsidR="00DD538D">
      <w:rPr>
        <w:i/>
      </w:rPr>
      <w:t>, 2017</w:t>
    </w:r>
  </w:p>
  <w:p w14:paraId="0A2E4C50" w14:textId="411E7E66" w:rsidR="00DD538D" w:rsidRDefault="00DD53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77792"/>
    <w:multiLevelType w:val="hybridMultilevel"/>
    <w:tmpl w:val="E9586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F411DA"/>
    <w:multiLevelType w:val="hybridMultilevel"/>
    <w:tmpl w:val="3BE2B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FF671A"/>
    <w:multiLevelType w:val="hybridMultilevel"/>
    <w:tmpl w:val="BF5A6640"/>
    <w:lvl w:ilvl="0" w:tplc="105AB26A">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B6309F"/>
    <w:multiLevelType w:val="hybridMultilevel"/>
    <w:tmpl w:val="F7762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EE5A6C"/>
    <w:multiLevelType w:val="hybridMultilevel"/>
    <w:tmpl w:val="40D4522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691"/>
    <w:rsid w:val="000125FF"/>
    <w:rsid w:val="00023B8D"/>
    <w:rsid w:val="00030CDF"/>
    <w:rsid w:val="000332A2"/>
    <w:rsid w:val="000347BD"/>
    <w:rsid w:val="0004321E"/>
    <w:rsid w:val="00053256"/>
    <w:rsid w:val="00087D4C"/>
    <w:rsid w:val="00087EED"/>
    <w:rsid w:val="000A48CB"/>
    <w:rsid w:val="000D06EA"/>
    <w:rsid w:val="000E56C1"/>
    <w:rsid w:val="000E7866"/>
    <w:rsid w:val="00115042"/>
    <w:rsid w:val="001172F9"/>
    <w:rsid w:val="00135506"/>
    <w:rsid w:val="00161474"/>
    <w:rsid w:val="001657EB"/>
    <w:rsid w:val="001701AD"/>
    <w:rsid w:val="00177A5F"/>
    <w:rsid w:val="001A3588"/>
    <w:rsid w:val="001B7C5C"/>
    <w:rsid w:val="001C4DC2"/>
    <w:rsid w:val="001C63BB"/>
    <w:rsid w:val="001C75BA"/>
    <w:rsid w:val="001E7A1A"/>
    <w:rsid w:val="0020600B"/>
    <w:rsid w:val="00211781"/>
    <w:rsid w:val="0022234D"/>
    <w:rsid w:val="00222CAC"/>
    <w:rsid w:val="00233AC3"/>
    <w:rsid w:val="00242238"/>
    <w:rsid w:val="00245B94"/>
    <w:rsid w:val="0028004B"/>
    <w:rsid w:val="00282F23"/>
    <w:rsid w:val="002831D4"/>
    <w:rsid w:val="00283A8B"/>
    <w:rsid w:val="0028490F"/>
    <w:rsid w:val="002971DC"/>
    <w:rsid w:val="002C2AE6"/>
    <w:rsid w:val="002E7828"/>
    <w:rsid w:val="00300F5C"/>
    <w:rsid w:val="00306555"/>
    <w:rsid w:val="00312960"/>
    <w:rsid w:val="00320A16"/>
    <w:rsid w:val="003342FA"/>
    <w:rsid w:val="0034561D"/>
    <w:rsid w:val="003501B1"/>
    <w:rsid w:val="003739DD"/>
    <w:rsid w:val="00394C64"/>
    <w:rsid w:val="003A469F"/>
    <w:rsid w:val="003A7CF8"/>
    <w:rsid w:val="003B2E8D"/>
    <w:rsid w:val="003C5FD0"/>
    <w:rsid w:val="003D3D6F"/>
    <w:rsid w:val="003E5F76"/>
    <w:rsid w:val="003E62E5"/>
    <w:rsid w:val="003F37BE"/>
    <w:rsid w:val="00401471"/>
    <w:rsid w:val="0040350C"/>
    <w:rsid w:val="00413356"/>
    <w:rsid w:val="00431F4D"/>
    <w:rsid w:val="004442B8"/>
    <w:rsid w:val="00445207"/>
    <w:rsid w:val="00445428"/>
    <w:rsid w:val="00452E7C"/>
    <w:rsid w:val="00464DD1"/>
    <w:rsid w:val="0049134F"/>
    <w:rsid w:val="00496FEE"/>
    <w:rsid w:val="004A7E65"/>
    <w:rsid w:val="004D33A6"/>
    <w:rsid w:val="004F380C"/>
    <w:rsid w:val="00511541"/>
    <w:rsid w:val="005220A0"/>
    <w:rsid w:val="005225C2"/>
    <w:rsid w:val="00524655"/>
    <w:rsid w:val="00551C11"/>
    <w:rsid w:val="005520BF"/>
    <w:rsid w:val="00556E11"/>
    <w:rsid w:val="00560072"/>
    <w:rsid w:val="0056719C"/>
    <w:rsid w:val="0058687A"/>
    <w:rsid w:val="0059066B"/>
    <w:rsid w:val="005A149B"/>
    <w:rsid w:val="005A6819"/>
    <w:rsid w:val="005B103E"/>
    <w:rsid w:val="005E6468"/>
    <w:rsid w:val="005F0BC6"/>
    <w:rsid w:val="00602488"/>
    <w:rsid w:val="0060262C"/>
    <w:rsid w:val="006240D9"/>
    <w:rsid w:val="0062739B"/>
    <w:rsid w:val="00632437"/>
    <w:rsid w:val="00633B8E"/>
    <w:rsid w:val="00647198"/>
    <w:rsid w:val="00652C8F"/>
    <w:rsid w:val="00666D83"/>
    <w:rsid w:val="00672D74"/>
    <w:rsid w:val="006806A7"/>
    <w:rsid w:val="00697343"/>
    <w:rsid w:val="006A041C"/>
    <w:rsid w:val="006B141C"/>
    <w:rsid w:val="006C0BE0"/>
    <w:rsid w:val="006C5675"/>
    <w:rsid w:val="0071202D"/>
    <w:rsid w:val="007210DD"/>
    <w:rsid w:val="00721A85"/>
    <w:rsid w:val="00721FEF"/>
    <w:rsid w:val="00744381"/>
    <w:rsid w:val="007637B1"/>
    <w:rsid w:val="00766B4E"/>
    <w:rsid w:val="00781F5E"/>
    <w:rsid w:val="00790AAC"/>
    <w:rsid w:val="007A2891"/>
    <w:rsid w:val="007B73C4"/>
    <w:rsid w:val="007D5F4F"/>
    <w:rsid w:val="007E1F13"/>
    <w:rsid w:val="007E4E03"/>
    <w:rsid w:val="007F2539"/>
    <w:rsid w:val="00817812"/>
    <w:rsid w:val="00821EED"/>
    <w:rsid w:val="0082735D"/>
    <w:rsid w:val="008339CC"/>
    <w:rsid w:val="00836D87"/>
    <w:rsid w:val="00861456"/>
    <w:rsid w:val="00863133"/>
    <w:rsid w:val="008B4929"/>
    <w:rsid w:val="008B6CA5"/>
    <w:rsid w:val="008E4F66"/>
    <w:rsid w:val="008F0074"/>
    <w:rsid w:val="0090741C"/>
    <w:rsid w:val="00912F76"/>
    <w:rsid w:val="00913DEB"/>
    <w:rsid w:val="00916250"/>
    <w:rsid w:val="00947378"/>
    <w:rsid w:val="00951DB5"/>
    <w:rsid w:val="009557A2"/>
    <w:rsid w:val="00971108"/>
    <w:rsid w:val="00984886"/>
    <w:rsid w:val="0099349D"/>
    <w:rsid w:val="009D4A02"/>
    <w:rsid w:val="009D4E09"/>
    <w:rsid w:val="009E5C0D"/>
    <w:rsid w:val="009E6241"/>
    <w:rsid w:val="00A02674"/>
    <w:rsid w:val="00A253F7"/>
    <w:rsid w:val="00A30CC2"/>
    <w:rsid w:val="00A433A2"/>
    <w:rsid w:val="00A50B08"/>
    <w:rsid w:val="00A802F9"/>
    <w:rsid w:val="00A85F2A"/>
    <w:rsid w:val="00A93A3D"/>
    <w:rsid w:val="00A945DA"/>
    <w:rsid w:val="00A95340"/>
    <w:rsid w:val="00AA21E1"/>
    <w:rsid w:val="00AA4858"/>
    <w:rsid w:val="00AA779D"/>
    <w:rsid w:val="00AB3207"/>
    <w:rsid w:val="00AB7C77"/>
    <w:rsid w:val="00AC45CF"/>
    <w:rsid w:val="00AD2370"/>
    <w:rsid w:val="00AE6390"/>
    <w:rsid w:val="00AE6F88"/>
    <w:rsid w:val="00AF0711"/>
    <w:rsid w:val="00AF7537"/>
    <w:rsid w:val="00B11165"/>
    <w:rsid w:val="00B35B21"/>
    <w:rsid w:val="00B374D2"/>
    <w:rsid w:val="00B459DB"/>
    <w:rsid w:val="00B63BDA"/>
    <w:rsid w:val="00B76BF0"/>
    <w:rsid w:val="00B95FF9"/>
    <w:rsid w:val="00B9621D"/>
    <w:rsid w:val="00BA0B0B"/>
    <w:rsid w:val="00BB1B32"/>
    <w:rsid w:val="00BE1BEC"/>
    <w:rsid w:val="00BE2329"/>
    <w:rsid w:val="00BE23A4"/>
    <w:rsid w:val="00BE7189"/>
    <w:rsid w:val="00C12983"/>
    <w:rsid w:val="00C12C21"/>
    <w:rsid w:val="00C13A5A"/>
    <w:rsid w:val="00C13C4D"/>
    <w:rsid w:val="00C23E87"/>
    <w:rsid w:val="00C535E6"/>
    <w:rsid w:val="00C54691"/>
    <w:rsid w:val="00C625A1"/>
    <w:rsid w:val="00C63349"/>
    <w:rsid w:val="00C66F59"/>
    <w:rsid w:val="00CA0938"/>
    <w:rsid w:val="00CA678A"/>
    <w:rsid w:val="00CE3FA7"/>
    <w:rsid w:val="00CF1FAB"/>
    <w:rsid w:val="00CF4484"/>
    <w:rsid w:val="00D17B60"/>
    <w:rsid w:val="00D3218B"/>
    <w:rsid w:val="00D40F17"/>
    <w:rsid w:val="00D47822"/>
    <w:rsid w:val="00D47C84"/>
    <w:rsid w:val="00D57760"/>
    <w:rsid w:val="00D62D17"/>
    <w:rsid w:val="00D851F1"/>
    <w:rsid w:val="00D91370"/>
    <w:rsid w:val="00DA46BC"/>
    <w:rsid w:val="00DC4EEA"/>
    <w:rsid w:val="00DD538D"/>
    <w:rsid w:val="00DD5778"/>
    <w:rsid w:val="00DD7077"/>
    <w:rsid w:val="00DE113A"/>
    <w:rsid w:val="00DE6364"/>
    <w:rsid w:val="00DE7AE7"/>
    <w:rsid w:val="00DF17BB"/>
    <w:rsid w:val="00DF4415"/>
    <w:rsid w:val="00E33172"/>
    <w:rsid w:val="00E37345"/>
    <w:rsid w:val="00E57308"/>
    <w:rsid w:val="00E9706F"/>
    <w:rsid w:val="00EA780C"/>
    <w:rsid w:val="00EB5C28"/>
    <w:rsid w:val="00EC2E0C"/>
    <w:rsid w:val="00EE1658"/>
    <w:rsid w:val="00EE43DF"/>
    <w:rsid w:val="00EF5F73"/>
    <w:rsid w:val="00F024A8"/>
    <w:rsid w:val="00F053A2"/>
    <w:rsid w:val="00F05E9B"/>
    <w:rsid w:val="00F20B38"/>
    <w:rsid w:val="00F22A71"/>
    <w:rsid w:val="00F60431"/>
    <w:rsid w:val="00F65DDF"/>
    <w:rsid w:val="00F7266C"/>
    <w:rsid w:val="00F82C52"/>
    <w:rsid w:val="00F87B6A"/>
    <w:rsid w:val="00FC098B"/>
    <w:rsid w:val="00FF1F6C"/>
    <w:rsid w:val="00FF3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F472B6"/>
  <w15:docId w15:val="{E9149EFA-8F46-42E1-8142-0A3C1EEFA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1F5E"/>
    <w:rPr>
      <w:color w:val="0000FF"/>
      <w:u w:val="single"/>
    </w:rPr>
  </w:style>
  <w:style w:type="paragraph" w:styleId="EndnoteText">
    <w:name w:val="endnote text"/>
    <w:basedOn w:val="Normal"/>
    <w:link w:val="EndnoteTextChar"/>
    <w:uiPriority w:val="99"/>
    <w:unhideWhenUsed/>
    <w:rsid w:val="00781F5E"/>
    <w:pPr>
      <w:spacing w:after="0" w:line="240" w:lineRule="auto"/>
    </w:pPr>
    <w:rPr>
      <w:rFonts w:ascii="Calibri" w:hAnsi="Calibri" w:cs="Times New Roman"/>
      <w:sz w:val="20"/>
      <w:szCs w:val="20"/>
    </w:rPr>
  </w:style>
  <w:style w:type="character" w:customStyle="1" w:styleId="EndnoteTextChar">
    <w:name w:val="Endnote Text Char"/>
    <w:basedOn w:val="DefaultParagraphFont"/>
    <w:link w:val="EndnoteText"/>
    <w:uiPriority w:val="99"/>
    <w:rsid w:val="00781F5E"/>
    <w:rPr>
      <w:rFonts w:ascii="Calibri" w:hAnsi="Calibri" w:cs="Times New Roman"/>
      <w:sz w:val="20"/>
      <w:szCs w:val="20"/>
    </w:rPr>
  </w:style>
  <w:style w:type="character" w:styleId="EndnoteReference">
    <w:name w:val="endnote reference"/>
    <w:basedOn w:val="DefaultParagraphFont"/>
    <w:uiPriority w:val="99"/>
    <w:unhideWhenUsed/>
    <w:rsid w:val="00781F5E"/>
    <w:rPr>
      <w:vertAlign w:val="superscript"/>
    </w:rPr>
  </w:style>
  <w:style w:type="paragraph" w:styleId="ListParagraph">
    <w:name w:val="List Paragraph"/>
    <w:basedOn w:val="Normal"/>
    <w:uiPriority w:val="34"/>
    <w:qFormat/>
    <w:rsid w:val="00242238"/>
    <w:pPr>
      <w:ind w:left="720"/>
      <w:contextualSpacing/>
    </w:pPr>
  </w:style>
  <w:style w:type="paragraph" w:styleId="Header">
    <w:name w:val="header"/>
    <w:basedOn w:val="Normal"/>
    <w:link w:val="HeaderChar"/>
    <w:uiPriority w:val="99"/>
    <w:unhideWhenUsed/>
    <w:rsid w:val="001A35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3588"/>
  </w:style>
  <w:style w:type="paragraph" w:styleId="Footer">
    <w:name w:val="footer"/>
    <w:basedOn w:val="Normal"/>
    <w:link w:val="FooterChar"/>
    <w:uiPriority w:val="99"/>
    <w:unhideWhenUsed/>
    <w:rsid w:val="001A35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3588"/>
  </w:style>
  <w:style w:type="paragraph" w:customStyle="1" w:styleId="p1">
    <w:name w:val="p1"/>
    <w:rsid w:val="00030CDF"/>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character" w:styleId="CommentReference">
    <w:name w:val="annotation reference"/>
    <w:basedOn w:val="DefaultParagraphFont"/>
    <w:uiPriority w:val="99"/>
    <w:semiHidden/>
    <w:unhideWhenUsed/>
    <w:rsid w:val="006A041C"/>
    <w:rPr>
      <w:sz w:val="16"/>
      <w:szCs w:val="16"/>
    </w:rPr>
  </w:style>
  <w:style w:type="paragraph" w:styleId="CommentText">
    <w:name w:val="annotation text"/>
    <w:basedOn w:val="Normal"/>
    <w:link w:val="CommentTextChar"/>
    <w:uiPriority w:val="99"/>
    <w:semiHidden/>
    <w:unhideWhenUsed/>
    <w:rsid w:val="006A041C"/>
    <w:pPr>
      <w:spacing w:line="240" w:lineRule="auto"/>
    </w:pPr>
    <w:rPr>
      <w:sz w:val="20"/>
      <w:szCs w:val="20"/>
    </w:rPr>
  </w:style>
  <w:style w:type="character" w:customStyle="1" w:styleId="CommentTextChar">
    <w:name w:val="Comment Text Char"/>
    <w:basedOn w:val="DefaultParagraphFont"/>
    <w:link w:val="CommentText"/>
    <w:uiPriority w:val="99"/>
    <w:semiHidden/>
    <w:rsid w:val="006A041C"/>
    <w:rPr>
      <w:sz w:val="20"/>
      <w:szCs w:val="20"/>
    </w:rPr>
  </w:style>
  <w:style w:type="paragraph" w:styleId="CommentSubject">
    <w:name w:val="annotation subject"/>
    <w:basedOn w:val="CommentText"/>
    <w:next w:val="CommentText"/>
    <w:link w:val="CommentSubjectChar"/>
    <w:uiPriority w:val="99"/>
    <w:semiHidden/>
    <w:unhideWhenUsed/>
    <w:rsid w:val="006A041C"/>
    <w:rPr>
      <w:b/>
      <w:bCs/>
    </w:rPr>
  </w:style>
  <w:style w:type="character" w:customStyle="1" w:styleId="CommentSubjectChar">
    <w:name w:val="Comment Subject Char"/>
    <w:basedOn w:val="CommentTextChar"/>
    <w:link w:val="CommentSubject"/>
    <w:uiPriority w:val="99"/>
    <w:semiHidden/>
    <w:rsid w:val="006A041C"/>
    <w:rPr>
      <w:b/>
      <w:bCs/>
      <w:sz w:val="20"/>
      <w:szCs w:val="20"/>
    </w:rPr>
  </w:style>
  <w:style w:type="paragraph" w:styleId="BalloonText">
    <w:name w:val="Balloon Text"/>
    <w:basedOn w:val="Normal"/>
    <w:link w:val="BalloonTextChar"/>
    <w:uiPriority w:val="99"/>
    <w:semiHidden/>
    <w:unhideWhenUsed/>
    <w:rsid w:val="006A04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041C"/>
    <w:rPr>
      <w:rFonts w:ascii="Segoe UI" w:hAnsi="Segoe UI" w:cs="Segoe UI"/>
      <w:sz w:val="18"/>
      <w:szCs w:val="18"/>
    </w:rPr>
  </w:style>
  <w:style w:type="paragraph" w:styleId="Revision">
    <w:name w:val="Revision"/>
    <w:hidden/>
    <w:uiPriority w:val="99"/>
    <w:semiHidden/>
    <w:rsid w:val="00C13A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007987">
      <w:bodyDiv w:val="1"/>
      <w:marLeft w:val="0"/>
      <w:marRight w:val="0"/>
      <w:marTop w:val="0"/>
      <w:marBottom w:val="0"/>
      <w:divBdr>
        <w:top w:val="none" w:sz="0" w:space="0" w:color="auto"/>
        <w:left w:val="none" w:sz="0" w:space="0" w:color="auto"/>
        <w:bottom w:val="none" w:sz="0" w:space="0" w:color="auto"/>
        <w:right w:val="none" w:sz="0" w:space="0" w:color="auto"/>
      </w:divBdr>
    </w:div>
    <w:div w:id="1196888794">
      <w:bodyDiv w:val="1"/>
      <w:marLeft w:val="0"/>
      <w:marRight w:val="0"/>
      <w:marTop w:val="0"/>
      <w:marBottom w:val="0"/>
      <w:divBdr>
        <w:top w:val="none" w:sz="0" w:space="0" w:color="auto"/>
        <w:left w:val="none" w:sz="0" w:space="0" w:color="auto"/>
        <w:bottom w:val="none" w:sz="0" w:space="0" w:color="auto"/>
        <w:right w:val="none" w:sz="0" w:space="0" w:color="auto"/>
      </w:divBdr>
      <w:divsChild>
        <w:div w:id="839808634">
          <w:marLeft w:val="0"/>
          <w:marRight w:val="0"/>
          <w:marTop w:val="0"/>
          <w:marBottom w:val="0"/>
          <w:divBdr>
            <w:top w:val="none" w:sz="0" w:space="0" w:color="auto"/>
            <w:left w:val="none" w:sz="0" w:space="0" w:color="auto"/>
            <w:bottom w:val="none" w:sz="0" w:space="0" w:color="auto"/>
            <w:right w:val="none" w:sz="0" w:space="0" w:color="auto"/>
          </w:divBdr>
          <w:divsChild>
            <w:div w:id="1623996948">
              <w:marLeft w:val="0"/>
              <w:marRight w:val="0"/>
              <w:marTop w:val="0"/>
              <w:marBottom w:val="0"/>
              <w:divBdr>
                <w:top w:val="none" w:sz="0" w:space="0" w:color="auto"/>
                <w:left w:val="none" w:sz="0" w:space="0" w:color="auto"/>
                <w:bottom w:val="none" w:sz="0" w:space="0" w:color="auto"/>
                <w:right w:val="none" w:sz="0" w:space="0" w:color="auto"/>
              </w:divBdr>
              <w:divsChild>
                <w:div w:id="184633428">
                  <w:marLeft w:val="0"/>
                  <w:marRight w:val="0"/>
                  <w:marTop w:val="0"/>
                  <w:marBottom w:val="0"/>
                  <w:divBdr>
                    <w:top w:val="none" w:sz="0" w:space="0" w:color="auto"/>
                    <w:left w:val="none" w:sz="0" w:space="0" w:color="auto"/>
                    <w:bottom w:val="none" w:sz="0" w:space="0" w:color="auto"/>
                    <w:right w:val="none" w:sz="0" w:space="0" w:color="auto"/>
                  </w:divBdr>
                  <w:divsChild>
                    <w:div w:id="1332949269">
                      <w:marLeft w:val="0"/>
                      <w:marRight w:val="0"/>
                      <w:marTop w:val="0"/>
                      <w:marBottom w:val="0"/>
                      <w:divBdr>
                        <w:top w:val="none" w:sz="0" w:space="0" w:color="auto"/>
                        <w:left w:val="none" w:sz="0" w:space="0" w:color="auto"/>
                        <w:bottom w:val="none" w:sz="0" w:space="0" w:color="auto"/>
                        <w:right w:val="none" w:sz="0" w:space="0" w:color="auto"/>
                      </w:divBdr>
                      <w:divsChild>
                        <w:div w:id="5258403">
                          <w:marLeft w:val="0"/>
                          <w:marRight w:val="0"/>
                          <w:marTop w:val="0"/>
                          <w:marBottom w:val="0"/>
                          <w:divBdr>
                            <w:top w:val="none" w:sz="0" w:space="0" w:color="auto"/>
                            <w:left w:val="none" w:sz="0" w:space="0" w:color="auto"/>
                            <w:bottom w:val="none" w:sz="0" w:space="0" w:color="auto"/>
                            <w:right w:val="none" w:sz="0" w:space="0" w:color="auto"/>
                          </w:divBdr>
                          <w:divsChild>
                            <w:div w:id="390228426">
                              <w:marLeft w:val="0"/>
                              <w:marRight w:val="0"/>
                              <w:marTop w:val="0"/>
                              <w:marBottom w:val="0"/>
                              <w:divBdr>
                                <w:top w:val="none" w:sz="0" w:space="0" w:color="auto"/>
                                <w:left w:val="none" w:sz="0" w:space="0" w:color="auto"/>
                                <w:bottom w:val="none" w:sz="0" w:space="0" w:color="auto"/>
                                <w:right w:val="none" w:sz="0" w:space="0" w:color="auto"/>
                              </w:divBdr>
                              <w:divsChild>
                                <w:div w:id="1017730271">
                                  <w:marLeft w:val="0"/>
                                  <w:marRight w:val="0"/>
                                  <w:marTop w:val="0"/>
                                  <w:marBottom w:val="0"/>
                                  <w:divBdr>
                                    <w:top w:val="single" w:sz="2" w:space="15" w:color="EAE9E9"/>
                                    <w:left w:val="none" w:sz="0" w:space="0" w:color="EAE9E9"/>
                                    <w:bottom w:val="single" w:sz="2" w:space="15" w:color="EAE9E9"/>
                                    <w:right w:val="none" w:sz="0" w:space="0" w:color="EAE9E9"/>
                                  </w:divBdr>
                                  <w:divsChild>
                                    <w:div w:id="38772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5476038">
      <w:bodyDiv w:val="1"/>
      <w:marLeft w:val="0"/>
      <w:marRight w:val="0"/>
      <w:marTop w:val="0"/>
      <w:marBottom w:val="0"/>
      <w:divBdr>
        <w:top w:val="none" w:sz="0" w:space="0" w:color="auto"/>
        <w:left w:val="none" w:sz="0" w:space="0" w:color="auto"/>
        <w:bottom w:val="none" w:sz="0" w:space="0" w:color="auto"/>
        <w:right w:val="none" w:sz="0" w:space="0" w:color="auto"/>
      </w:divBdr>
    </w:div>
    <w:div w:id="1259872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lwprotocol.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25606E-65EC-471C-A7CD-8669ACC88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2048</Words>
  <Characters>11677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Hanson</dc:creator>
  <cp:lastModifiedBy>Jillian Holzer</cp:lastModifiedBy>
  <cp:revision>2</cp:revision>
  <cp:lastPrinted>2017-06-22T16:35:00Z</cp:lastPrinted>
  <dcterms:created xsi:type="dcterms:W3CDTF">2017-08-11T18:50:00Z</dcterms:created>
  <dcterms:modified xsi:type="dcterms:W3CDTF">2017-08-11T18:50:00Z</dcterms:modified>
</cp:coreProperties>
</file>